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112CB">
      <w:pPr>
        <w:spacing w:line="560" w:lineRule="exact"/>
        <w:rPr>
          <w:rFonts w:hint="eastAsia" w:ascii="仿宋_GB2312" w:hAnsi="仿宋_GB2312" w:eastAsia="仿宋_GB2312" w:cs="仿宋_GB2312"/>
          <w:sz w:val="32"/>
          <w:szCs w:val="32"/>
        </w:rPr>
      </w:pPr>
      <w:bookmarkStart w:id="0" w:name="SendUnit"/>
    </w:p>
    <w:bookmarkEnd w:id="0"/>
    <w:p w14:paraId="3722B722">
      <w:pPr>
        <w:pStyle w:val="6"/>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hint="eastAsia" w:ascii="方正小标宋简体" w:hAnsi="宋体" w:eastAsia="方正小标宋简体" w:cs="Times New Roman"/>
          <w:kern w:val="2"/>
          <w:sz w:val="40"/>
          <w:szCs w:val="40"/>
          <w:lang w:val="en-US" w:bidi="ar-SA"/>
        </w:rPr>
      </w:pPr>
      <w:r>
        <w:rPr>
          <w:rFonts w:hint="eastAsia" w:ascii="方正小标宋简体" w:hAnsi="宋体" w:eastAsia="方正小标宋简体" w:cs="Times New Roman"/>
          <w:kern w:val="2"/>
          <w:sz w:val="40"/>
          <w:szCs w:val="40"/>
          <w:lang w:val="en-US" w:eastAsia="zh-CN" w:bidi="ar-SA"/>
        </w:rPr>
        <w:t>2026年</w:t>
      </w:r>
      <w:r>
        <w:rPr>
          <w:rFonts w:hint="eastAsia" w:ascii="方正小标宋简体" w:hAnsi="宋体" w:eastAsia="方正小标宋简体" w:cs="Times New Roman"/>
          <w:kern w:val="2"/>
          <w:sz w:val="40"/>
          <w:szCs w:val="40"/>
          <w:lang w:val="en-US" w:bidi="ar-SA"/>
        </w:rPr>
        <w:t>浙江省计量专业项目考核指南</w:t>
      </w:r>
    </w:p>
    <w:p w14:paraId="2AF623FB">
      <w:pPr>
        <w:pStyle w:val="6"/>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hint="eastAsia" w:ascii="方正小标宋简体" w:hAnsi="宋体" w:eastAsia="方正小标宋简体" w:cs="Times New Roman"/>
          <w:kern w:val="2"/>
          <w:sz w:val="40"/>
          <w:szCs w:val="40"/>
          <w:lang w:val="en-US" w:bidi="ar-SA"/>
        </w:rPr>
      </w:pPr>
    </w:p>
    <w:p w14:paraId="25F3276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_GB2312" w:hAnsi="Calibri" w:eastAsia="仿宋_GB2312" w:cs="Times New Roman"/>
          <w:sz w:val="32"/>
          <w:szCs w:val="32"/>
          <w:lang w:val="en-US" w:eastAsia="zh-CN"/>
        </w:rPr>
      </w:pPr>
      <w:bookmarkStart w:id="1" w:name="_Toc7981"/>
      <w:r>
        <w:rPr>
          <w:rFonts w:hint="eastAsia" w:ascii="仿宋_GB2312" w:hAnsi="Calibri" w:eastAsia="仿宋_GB2312" w:cs="Times New Roman"/>
          <w:sz w:val="32"/>
          <w:szCs w:val="32"/>
        </w:rPr>
        <w:t>为</w:t>
      </w:r>
      <w:r>
        <w:rPr>
          <w:rFonts w:hint="eastAsia" w:ascii="仿宋_GB2312" w:hAnsi="Calibri" w:eastAsia="仿宋_GB2312" w:cs="Times New Roman"/>
          <w:sz w:val="32"/>
          <w:szCs w:val="32"/>
          <w:lang w:val="en-US" w:eastAsia="zh-CN"/>
        </w:rPr>
        <w:t>规范计量专业项目考核工作，确保考核质量，根据市场监管总局《注册计量师注册管理规定》（2022年第6号公告）、《浙江省市场监督管理局关于做好注册计量师注册管理有关工作的通知》（浙市监计〔2022〕13号）精神，</w:t>
      </w:r>
      <w:r>
        <w:rPr>
          <w:rFonts w:hint="eastAsia" w:ascii="仿宋_GB2312" w:hAnsi="Calibri" w:eastAsia="仿宋_GB2312" w:cs="Times New Roman"/>
          <w:sz w:val="32"/>
          <w:szCs w:val="32"/>
        </w:rPr>
        <w:t>特制定本考核指南。</w:t>
      </w:r>
    </w:p>
    <w:p w14:paraId="371EB39B">
      <w:pPr>
        <w:keepNext/>
        <w:keepLines/>
        <w:widowControl w:val="0"/>
        <w:bidi w:val="0"/>
        <w:spacing w:before="30" w:beforeLines="30" w:beforeAutospacing="0" w:after="6" w:afterLines="0" w:afterAutospacing="0" w:line="413" w:lineRule="auto"/>
        <w:ind w:firstLine="640" w:firstLineChars="200"/>
        <w:jc w:val="left"/>
        <w:outlineLvl w:val="1"/>
        <w:rPr>
          <w:rFonts w:hint="default" w:ascii="Arial" w:hAnsi="Arial" w:eastAsia="黑体" w:cs="宋体"/>
          <w:b w:val="0"/>
          <w:bCs/>
          <w:kern w:val="44"/>
          <w:sz w:val="32"/>
          <w:szCs w:val="32"/>
          <w:lang w:val="en-US" w:eastAsia="zh-CN" w:bidi="ar-SA"/>
        </w:rPr>
      </w:pPr>
      <w:r>
        <w:rPr>
          <w:rFonts w:hint="eastAsia" w:ascii="Arial" w:hAnsi="Arial" w:eastAsia="黑体" w:cs="宋体"/>
          <w:b w:val="0"/>
          <w:bCs/>
          <w:kern w:val="44"/>
          <w:sz w:val="32"/>
          <w:szCs w:val="32"/>
          <w:lang w:val="en-US" w:eastAsia="zh-CN" w:bidi="ar-SA"/>
        </w:rPr>
        <w:t>一、考核内容</w:t>
      </w:r>
    </w:p>
    <w:p w14:paraId="6D8028A9">
      <w:pPr>
        <w:widowControl/>
        <w:ind w:firstLine="640" w:firstLineChars="200"/>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计量专业项目考核含：计量专业项目知识及计量专业项目操作技能。</w:t>
      </w:r>
    </w:p>
    <w:p w14:paraId="5FEFB307">
      <w:pPr>
        <w:widowControl/>
        <w:ind w:firstLine="640" w:firstLineChars="200"/>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计量专业项目知识考核主要包括计量法律法规常识、计量专业基础知识和相关计量技术法规、计量标准的工作原理、技术特征、计量性能及使用、维护等内容。</w:t>
      </w:r>
    </w:p>
    <w:p w14:paraId="355655F8">
      <w:pPr>
        <w:widowControl/>
        <w:ind w:firstLine="640" w:firstLineChars="200"/>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计量专业项目操作技能考核主要是对相应计量器具实施计量检定的操作、结果数据处理和出具计量检定证书、检定结果通知书等检定工作全过程的考核。</w:t>
      </w:r>
    </w:p>
    <w:p w14:paraId="41045048">
      <w:pPr>
        <w:widowControl/>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二、考核形式</w:t>
      </w:r>
    </w:p>
    <w:p w14:paraId="505353AE">
      <w:pPr>
        <w:widowControl/>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计量专业项目知识考核实行线下考核，试卷在线随机生成，成绩自动批阅，考核按百分制评分，60分为及格，每门考核时间为40分钟。</w:t>
      </w:r>
    </w:p>
    <w:p w14:paraId="6C8E547F">
      <w:pPr>
        <w:ind w:firstLine="640" w:firstLineChars="200"/>
        <w:rPr>
          <w:rFonts w:hint="eastAsia" w:ascii="Calibri" w:hAnsi="Calibri" w:eastAsia="宋体" w:cs="Times New Roman"/>
          <w:lang w:val="en-US" w:eastAsia="zh-CN"/>
        </w:rPr>
      </w:pPr>
      <w:r>
        <w:rPr>
          <w:rFonts w:hint="eastAsia" w:ascii="仿宋_GB2312" w:hAnsi="Calibri" w:eastAsia="仿宋_GB2312" w:cs="Times New Roman"/>
          <w:sz w:val="32"/>
          <w:szCs w:val="32"/>
          <w:lang w:val="en-US" w:eastAsia="zh-CN"/>
        </w:rPr>
        <w:t>计量专业项目操作技能考核实行线下考核，考核按百分制评分，70分为及格。</w:t>
      </w:r>
    </w:p>
    <w:p w14:paraId="220E4021">
      <w:pPr>
        <w:keepNext/>
        <w:keepLines/>
        <w:widowControl w:val="0"/>
        <w:bidi w:val="0"/>
        <w:spacing w:before="30" w:beforeLines="30" w:beforeAutospacing="0" w:after="6" w:afterLines="0" w:afterAutospacing="0" w:line="413" w:lineRule="auto"/>
        <w:ind w:firstLine="640" w:firstLineChars="200"/>
        <w:jc w:val="left"/>
        <w:outlineLvl w:val="1"/>
        <w:rPr>
          <w:rFonts w:hint="eastAsia" w:ascii="Arial" w:hAnsi="Arial" w:eastAsia="黑体" w:cs="宋体"/>
          <w:b w:val="0"/>
          <w:bCs/>
          <w:kern w:val="44"/>
          <w:sz w:val="32"/>
          <w:szCs w:val="32"/>
          <w:lang w:val="en-US" w:eastAsia="zh-CN" w:bidi="ar-SA"/>
        </w:rPr>
      </w:pPr>
      <w:r>
        <w:rPr>
          <w:rFonts w:hint="eastAsia" w:ascii="Arial" w:hAnsi="Arial" w:eastAsia="黑体" w:cs="宋体"/>
          <w:b w:val="0"/>
          <w:bCs/>
          <w:kern w:val="44"/>
          <w:sz w:val="32"/>
          <w:szCs w:val="32"/>
          <w:lang w:val="en-US" w:eastAsia="zh-CN" w:bidi="ar-SA"/>
        </w:rPr>
        <w:t>三、考核报名</w:t>
      </w:r>
      <w:bookmarkEnd w:id="1"/>
    </w:p>
    <w:p w14:paraId="3A52D614">
      <w:pPr>
        <w:widowControl/>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1、报名申请</w:t>
      </w:r>
    </w:p>
    <w:p w14:paraId="0AB579D8">
      <w:pPr>
        <w:widowControl/>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申请计量专业项目考核的人员应当向组织考核单位提出申请，正确填报</w:t>
      </w:r>
      <w:r>
        <w:rPr>
          <w:rFonts w:hint="eastAsia" w:ascii="仿宋_GB2312" w:hAnsi="Calibri" w:eastAsia="仿宋_GB2312" w:cs="Times New Roman"/>
          <w:sz w:val="32"/>
          <w:szCs w:val="32"/>
          <w:highlight w:val="none"/>
        </w:rPr>
        <w:t>相关</w:t>
      </w:r>
      <w:r>
        <w:rPr>
          <w:rFonts w:hint="eastAsia" w:ascii="仿宋_GB2312" w:hAnsi="Calibri" w:eastAsia="仿宋_GB2312" w:cs="Times New Roman"/>
          <w:sz w:val="32"/>
          <w:szCs w:val="32"/>
        </w:rPr>
        <w:t>信息。</w:t>
      </w:r>
    </w:p>
    <w:p w14:paraId="3C53C710">
      <w:pPr>
        <w:widowControl/>
        <w:ind w:firstLine="640" w:firstLineChars="200"/>
        <w:rPr>
          <w:rFonts w:hint="default" w:ascii="仿宋_GB2312" w:hAnsi="Calibri" w:eastAsia="仿宋_GB2312" w:cs="Times New Roman"/>
          <w:sz w:val="32"/>
          <w:szCs w:val="32"/>
          <w:u w:val="single"/>
          <w:lang w:val="en-US" w:eastAsia="zh-CN"/>
        </w:rPr>
      </w:pPr>
      <w:r>
        <w:rPr>
          <w:rFonts w:hint="eastAsia" w:ascii="黑体" w:hAnsi="黑体" w:eastAsia="黑体" w:cs="黑体"/>
          <w:sz w:val="32"/>
          <w:szCs w:val="32"/>
          <w:lang w:val="en-US" w:eastAsia="zh-CN"/>
        </w:rPr>
        <w:t xml:space="preserve">2、报名条件  </w:t>
      </w:r>
    </w:p>
    <w:p w14:paraId="51210CDF">
      <w:pPr>
        <w:widowControl/>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2.1受聘于</w:t>
      </w:r>
      <w:r>
        <w:rPr>
          <w:rFonts w:hint="eastAsia" w:ascii="仿宋_GB2312" w:hAnsi="Calibri" w:eastAsia="仿宋_GB2312" w:cs="Times New Roman"/>
          <w:sz w:val="32"/>
          <w:szCs w:val="32"/>
          <w:highlight w:val="none"/>
        </w:rPr>
        <w:t>依法设置的法定计量检定机构、依法授权的计量检定机构；</w:t>
      </w:r>
    </w:p>
    <w:p w14:paraId="25EB0F89">
      <w:pPr>
        <w:widowControl/>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2.2具备中专（含高中）或相当于中专（含高中）毕业以上文化程度；</w:t>
      </w:r>
    </w:p>
    <w:p w14:paraId="733FC103">
      <w:pPr>
        <w:widowControl/>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2.3连续从事计量专业技术工作满1年，并具备6个月以上本项目工作经历；</w:t>
      </w:r>
    </w:p>
    <w:p w14:paraId="68ED936E">
      <w:pPr>
        <w:widowControl/>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2.4具备相应的计量法律法规以及计量专业知识；</w:t>
      </w:r>
    </w:p>
    <w:p w14:paraId="2B02B291">
      <w:pPr>
        <w:widowControl/>
        <w:ind w:firstLine="640" w:firstLineChars="200"/>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2.5熟练掌握所从事项目的计量检定规程等有关知识和操作技能</w:t>
      </w:r>
      <w:r>
        <w:rPr>
          <w:rFonts w:hint="eastAsia" w:ascii="仿宋_GB2312" w:hAnsi="Calibri" w:eastAsia="仿宋_GB2312" w:cs="Times New Roman"/>
          <w:sz w:val="32"/>
          <w:szCs w:val="32"/>
          <w:lang w:val="en-US" w:eastAsia="zh-CN"/>
        </w:rPr>
        <w:t>；</w:t>
      </w:r>
    </w:p>
    <w:p w14:paraId="505D58B3">
      <w:pPr>
        <w:widowControl w:val="0"/>
        <w:spacing w:line="360" w:lineRule="auto"/>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2.6 未注册人员原则上应取得注册计量师职业资格证，且取得时间未超过5年。</w:t>
      </w:r>
    </w:p>
    <w:p w14:paraId="0161C094">
      <w:pPr>
        <w:widowControl/>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3、报名时间</w:t>
      </w:r>
    </w:p>
    <w:p w14:paraId="6444F39C">
      <w:pPr>
        <w:widowControl/>
        <w:ind w:firstLine="640" w:firstLineChars="2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见附件一。</w:t>
      </w:r>
    </w:p>
    <w:p w14:paraId="2C2B3899">
      <w:pPr>
        <w:widowControl/>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4、报名方式</w:t>
      </w:r>
    </w:p>
    <w:p w14:paraId="5A1C3204">
      <w:pPr>
        <w:widowControl/>
        <w:ind w:firstLine="640" w:firstLineChars="2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4.1考生登录“浙江省计量专业项目考试系统”（网址：www.jyryks.com），按照组织考核单位公布的年度考核计划自主选择档期报名，</w:t>
      </w:r>
      <w:r>
        <w:rPr>
          <w:rFonts w:hint="eastAsia" w:ascii="仿宋_GB2312" w:hAnsi="仿宋_GB2312" w:eastAsia="仿宋_GB2312" w:cs="仿宋_GB2312"/>
          <w:sz w:val="32"/>
          <w:szCs w:val="32"/>
        </w:rPr>
        <w:t>原则上采取隔期报名</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lang w:eastAsia="zh-CN"/>
        </w:rPr>
        <w:t>，</w:t>
      </w:r>
      <w:r>
        <w:rPr>
          <w:rFonts w:hint="eastAsia" w:ascii="仿宋_GB2312" w:hAnsi="Calibri" w:eastAsia="仿宋_GB2312" w:cs="Times New Roman"/>
          <w:sz w:val="32"/>
          <w:szCs w:val="32"/>
          <w:lang w:val="en-US" w:eastAsia="zh-CN"/>
        </w:rPr>
        <w:t>并自主选择考点（目前为杭州、金华、台州、温州、宁波、绍兴、国网浙江考点）及相应项目，</w:t>
      </w:r>
      <w:r>
        <w:rPr>
          <w:rFonts w:hint="eastAsia" w:ascii="仿宋_GB2312" w:hAnsi="Calibri" w:eastAsia="仿宋_GB2312" w:cs="Times New Roman"/>
          <w:sz w:val="32"/>
          <w:szCs w:val="32"/>
          <w:u w:val="none"/>
          <w:lang w:val="en-US" w:eastAsia="zh-CN"/>
        </w:rPr>
        <w:t>每期考核原则上最多申请3项专业项目，</w:t>
      </w:r>
      <w:r>
        <w:rPr>
          <w:rFonts w:hint="eastAsia" w:ascii="仿宋_GB2312" w:hAnsi="Calibri" w:eastAsia="仿宋_GB2312" w:cs="Times New Roman"/>
          <w:sz w:val="32"/>
          <w:szCs w:val="32"/>
          <w:lang w:val="en-US" w:eastAsia="zh-CN"/>
        </w:rPr>
        <w:t>审核不通过的考生可在报名截止时限前修改报考信息并重新提交；</w:t>
      </w:r>
    </w:p>
    <w:p w14:paraId="379CD5CD">
      <w:pPr>
        <w:widowControl/>
        <w:ind w:firstLine="640" w:firstLineChars="200"/>
        <w:rPr>
          <w:rFonts w:hint="eastAsia" w:ascii="仿宋_GB2312" w:hAnsi="Calibri" w:eastAsia="仿宋_GB2312" w:cs="Times New Roman"/>
          <w:sz w:val="32"/>
          <w:szCs w:val="32"/>
          <w:u w:val="single"/>
          <w:lang w:val="en-US" w:eastAsia="zh-CN"/>
        </w:rPr>
      </w:pPr>
      <w:r>
        <w:rPr>
          <w:rFonts w:hint="eastAsia" w:ascii="仿宋_GB2312" w:hAnsi="Calibri" w:eastAsia="仿宋_GB2312" w:cs="Times New Roman"/>
          <w:sz w:val="32"/>
          <w:szCs w:val="32"/>
          <w:lang w:val="en-US" w:eastAsia="zh-CN"/>
        </w:rPr>
        <w:t>4.2</w:t>
      </w:r>
      <w:r>
        <w:rPr>
          <w:rFonts w:hint="eastAsia" w:ascii="仿宋_GB2312" w:hAnsi="Calibri" w:eastAsia="仿宋_GB2312" w:cs="Times New Roman"/>
          <w:sz w:val="32"/>
          <w:szCs w:val="32"/>
          <w:u w:val="none"/>
          <w:lang w:val="en-US" w:eastAsia="zh-CN"/>
        </w:rPr>
        <w:t>各法定计量检定机构人员的操作技能考核实行交叉考核，原则上须选择本地区以外的考点进行考核；</w:t>
      </w:r>
    </w:p>
    <w:p w14:paraId="7EF97E2F">
      <w:pPr>
        <w:widowControl/>
        <w:ind w:firstLine="640" w:firstLineChars="200"/>
        <w:rPr>
          <w:rFonts w:hint="eastAsia" w:ascii="仿宋_GB2312" w:hAnsi="Calibri" w:eastAsia="仿宋_GB2312" w:cs="Times New Roman"/>
          <w:color w:val="auto"/>
          <w:sz w:val="32"/>
          <w:szCs w:val="32"/>
          <w:u w:val="none"/>
          <w:lang w:val="en-US" w:eastAsia="zh-CN"/>
        </w:rPr>
      </w:pPr>
      <w:r>
        <w:rPr>
          <w:rFonts w:hint="eastAsia" w:ascii="仿宋_GB2312" w:hAnsi="Calibri" w:eastAsia="仿宋_GB2312" w:cs="Times New Roman"/>
          <w:color w:val="auto"/>
          <w:sz w:val="32"/>
          <w:szCs w:val="32"/>
          <w:u w:val="none"/>
          <w:lang w:val="en-US" w:eastAsia="zh-CN"/>
        </w:rPr>
        <w:t>4.3依法授权的计量检定机构考生报考项目原则上仅为机构授权项目；市、县级授权机构需要报考的由所在市局确认后报省市场监管局计量处备案。</w:t>
      </w:r>
    </w:p>
    <w:p w14:paraId="6738C47F">
      <w:pPr>
        <w:keepNext/>
        <w:keepLines/>
        <w:widowControl w:val="0"/>
        <w:bidi w:val="0"/>
        <w:spacing w:before="30" w:beforeLines="30" w:beforeAutospacing="0" w:after="6" w:afterLines="0" w:afterAutospacing="0" w:line="413" w:lineRule="auto"/>
        <w:ind w:firstLine="640" w:firstLineChars="200"/>
        <w:jc w:val="left"/>
        <w:outlineLvl w:val="1"/>
        <w:rPr>
          <w:rFonts w:hint="default" w:ascii="Arial" w:hAnsi="Arial" w:eastAsia="黑体" w:cs="宋体"/>
          <w:b w:val="0"/>
          <w:bCs/>
          <w:kern w:val="44"/>
          <w:sz w:val="32"/>
          <w:szCs w:val="32"/>
          <w:lang w:val="en-US" w:eastAsia="zh-CN" w:bidi="ar-SA"/>
        </w:rPr>
      </w:pPr>
      <w:bookmarkStart w:id="2" w:name="_Toc10066"/>
      <w:r>
        <w:rPr>
          <w:rFonts w:hint="eastAsia" w:ascii="Arial" w:hAnsi="Arial" w:eastAsia="黑体" w:cs="宋体"/>
          <w:b w:val="0"/>
          <w:bCs/>
          <w:kern w:val="44"/>
          <w:sz w:val="32"/>
          <w:szCs w:val="32"/>
          <w:lang w:val="en-US" w:eastAsia="zh-CN" w:bidi="ar-SA"/>
        </w:rPr>
        <w:t>四、考核</w:t>
      </w:r>
      <w:bookmarkEnd w:id="2"/>
      <w:r>
        <w:rPr>
          <w:rFonts w:hint="eastAsia" w:ascii="Arial" w:hAnsi="Arial" w:eastAsia="黑体" w:cs="宋体"/>
          <w:b w:val="0"/>
          <w:bCs/>
          <w:kern w:val="44"/>
          <w:sz w:val="32"/>
          <w:szCs w:val="32"/>
          <w:lang w:val="en-US" w:eastAsia="zh-CN" w:bidi="ar-SA"/>
        </w:rPr>
        <w:t>工作</w:t>
      </w:r>
    </w:p>
    <w:p w14:paraId="570332D7">
      <w:pPr>
        <w:widowControl w:val="0"/>
        <w:numPr>
          <w:ilvl w:val="0"/>
          <w:numId w:val="0"/>
        </w:numPr>
        <w:spacing w:line="360" w:lineRule="auto"/>
        <w:ind w:firstLine="640" w:firstLineChars="20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2026年全年计划安排考核共五期，可视全年考核情况机动安排一期。</w:t>
      </w:r>
    </w:p>
    <w:p w14:paraId="24F696CB">
      <w:pPr>
        <w:widowControl w:val="0"/>
        <w:numPr>
          <w:ilvl w:val="0"/>
          <w:numId w:val="0"/>
        </w:numPr>
        <w:spacing w:line="360" w:lineRule="auto"/>
        <w:ind w:firstLine="640" w:firstLineChars="200"/>
        <w:jc w:val="both"/>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1、知识考核</w:t>
      </w:r>
    </w:p>
    <w:p w14:paraId="7E6DDC72">
      <w:pPr>
        <w:widowControl/>
        <w:ind w:firstLine="640" w:firstLineChars="200"/>
        <w:rPr>
          <w:rFonts w:hint="default" w:ascii="Calibri" w:hAnsi="Calibri" w:eastAsia="宋体" w:cs="Times New Roman"/>
          <w:lang w:val="en-US" w:eastAsia="zh-CN"/>
        </w:rPr>
      </w:pPr>
      <w:r>
        <w:rPr>
          <w:rFonts w:hint="eastAsia" w:ascii="仿宋_GB2312" w:hAnsi="Calibri" w:eastAsia="仿宋_GB2312" w:cs="Times New Roman"/>
          <w:sz w:val="32"/>
          <w:szCs w:val="32"/>
          <w:lang w:val="en-US" w:eastAsia="zh-CN"/>
        </w:rPr>
        <w:t>采取线下考核方式。考生报考审核通过后，登录考试系统自主选择专业项目知识考核时间，于规定时限前完成考核，考核地点为杭州市文三路555号浙江省机关后勤和培训服务中心2号楼。具体安排详见附件一。</w:t>
      </w:r>
    </w:p>
    <w:p w14:paraId="5A2CDC85">
      <w:pPr>
        <w:widowControl/>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2、操作技能考核</w:t>
      </w:r>
    </w:p>
    <w:p w14:paraId="530369A6">
      <w:pPr>
        <w:widowControl/>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考生通过计量专业项目知识考核后，可在考核系统查看操作技能考核具体安排，并下载</w:t>
      </w:r>
      <w:r>
        <w:rPr>
          <w:rFonts w:hint="eastAsia" w:ascii="仿宋_GB2312" w:hAnsi="Calibri" w:eastAsia="仿宋_GB2312" w:cs="Times New Roman"/>
          <w:sz w:val="32"/>
          <w:szCs w:val="32"/>
          <w:highlight w:val="none"/>
          <w:lang w:val="en-US" w:eastAsia="zh-CN"/>
        </w:rPr>
        <w:t>打印考核申请表（见附件二），考核申请表由执业单位盖章确认</w:t>
      </w:r>
      <w:r>
        <w:rPr>
          <w:rFonts w:hint="eastAsia" w:ascii="仿宋_GB2312" w:hAnsi="Calibri" w:eastAsia="仿宋_GB2312" w:cs="Times New Roman"/>
          <w:sz w:val="32"/>
          <w:szCs w:val="32"/>
          <w:u w:val="none"/>
          <w:lang w:val="en-US" w:eastAsia="zh-CN"/>
        </w:rPr>
        <w:t>；</w:t>
      </w:r>
    </w:p>
    <w:p w14:paraId="0E8EBCEF">
      <w:pPr>
        <w:widowControl/>
        <w:ind w:firstLine="640" w:firstLineChars="200"/>
        <w:rPr>
          <w:rFonts w:hint="eastAsia" w:ascii="仿宋_GB2312" w:hAnsi="Calibri" w:eastAsia="仿宋_GB2312" w:cs="Times New Roman"/>
          <w:sz w:val="32"/>
          <w:szCs w:val="32"/>
          <w:highlight w:val="yellow"/>
          <w:lang w:val="en-US" w:eastAsia="zh-CN"/>
        </w:rPr>
      </w:pPr>
      <w:r>
        <w:rPr>
          <w:rFonts w:hint="eastAsia" w:ascii="仿宋_GB2312" w:hAnsi="Calibri" w:eastAsia="仿宋_GB2312" w:cs="Times New Roman"/>
          <w:sz w:val="32"/>
          <w:szCs w:val="32"/>
          <w:lang w:val="en-US" w:eastAsia="zh-CN"/>
        </w:rPr>
        <w:t>3、考生携带考核申请表和身份证原件参加考核，开考前向考核老师递交考核申请表，确认信息无误后进行操作技能考核。</w:t>
      </w:r>
    </w:p>
    <w:p w14:paraId="1B6384EF">
      <w:pPr>
        <w:keepNext/>
        <w:keepLines/>
        <w:widowControl w:val="0"/>
        <w:bidi w:val="0"/>
        <w:spacing w:before="30" w:beforeLines="30" w:beforeAutospacing="0" w:after="6" w:afterLines="0" w:afterAutospacing="0" w:line="413" w:lineRule="auto"/>
        <w:ind w:firstLine="640" w:firstLineChars="200"/>
        <w:jc w:val="left"/>
        <w:outlineLvl w:val="1"/>
        <w:rPr>
          <w:rFonts w:hint="eastAsia" w:ascii="仿宋_GB2312" w:hAnsi="Calibri" w:eastAsia="仿宋_GB2312" w:cs="宋体"/>
          <w:b w:val="0"/>
          <w:bCs/>
          <w:kern w:val="44"/>
          <w:sz w:val="32"/>
          <w:szCs w:val="32"/>
          <w:highlight w:val="yellow"/>
          <w:lang w:val="en-US" w:eastAsia="zh-CN" w:bidi="ar-SA"/>
        </w:rPr>
      </w:pPr>
      <w:r>
        <w:rPr>
          <w:rFonts w:hint="eastAsia" w:ascii="Arial" w:hAnsi="Arial" w:eastAsia="黑体" w:cs="宋体"/>
          <w:b w:val="0"/>
          <w:bCs/>
          <w:kern w:val="44"/>
          <w:sz w:val="32"/>
          <w:szCs w:val="32"/>
          <w:lang w:val="en-US" w:eastAsia="zh-CN" w:bidi="ar-SA"/>
        </w:rPr>
        <w:t>五、考核纪律</w:t>
      </w:r>
    </w:p>
    <w:p w14:paraId="114E5F21">
      <w:pPr>
        <w:widowControl/>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1、参加计量专业项目考核的人员，必须遵守考场纪律，有作弊行为的，取消考核资格，2年内不得再次申请计量专业项目考核；</w:t>
      </w:r>
    </w:p>
    <w:p w14:paraId="3B34ED59">
      <w:pPr>
        <w:widowControl w:val="0"/>
        <w:spacing w:line="360" w:lineRule="auto"/>
        <w:ind w:firstLine="640" w:firstLineChars="200"/>
        <w:jc w:val="both"/>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2、考生因特殊原因无法参加考核，应于考核7个工作日前向考核组织单位提出书面说明，无故缺考的考生，当年将不得再次申请参加计量专业项目考核。</w:t>
      </w:r>
    </w:p>
    <w:p w14:paraId="1E43897B">
      <w:pPr>
        <w:keepNext/>
        <w:keepLines/>
        <w:widowControl w:val="0"/>
        <w:bidi w:val="0"/>
        <w:spacing w:before="30" w:beforeLines="30" w:beforeAutospacing="0" w:after="6" w:afterLines="0" w:afterAutospacing="0" w:line="413" w:lineRule="auto"/>
        <w:ind w:firstLine="640" w:firstLineChars="200"/>
        <w:jc w:val="left"/>
        <w:outlineLvl w:val="1"/>
        <w:rPr>
          <w:rFonts w:hint="default" w:ascii="Arial" w:hAnsi="Arial" w:eastAsia="黑体" w:cs="宋体"/>
          <w:b w:val="0"/>
          <w:bCs/>
          <w:kern w:val="44"/>
          <w:sz w:val="32"/>
          <w:szCs w:val="32"/>
          <w:lang w:val="en-US" w:eastAsia="zh-CN" w:bidi="ar-SA"/>
        </w:rPr>
      </w:pPr>
      <w:bookmarkStart w:id="3" w:name="_Toc23738"/>
      <w:bookmarkStart w:id="4" w:name="_Toc24614"/>
      <w:r>
        <w:rPr>
          <w:rFonts w:hint="eastAsia" w:ascii="Arial" w:hAnsi="Arial" w:eastAsia="黑体" w:cs="宋体"/>
          <w:b w:val="0"/>
          <w:bCs/>
          <w:kern w:val="44"/>
          <w:sz w:val="32"/>
          <w:szCs w:val="32"/>
          <w:lang w:val="en-US" w:eastAsia="zh-CN" w:bidi="ar-SA"/>
        </w:rPr>
        <w:t>六、成绩公布</w:t>
      </w:r>
      <w:bookmarkEnd w:id="3"/>
      <w:r>
        <w:rPr>
          <w:rFonts w:hint="eastAsia" w:ascii="Arial" w:hAnsi="Arial" w:eastAsia="黑体" w:cs="宋体"/>
          <w:b w:val="0"/>
          <w:bCs/>
          <w:kern w:val="44"/>
          <w:sz w:val="32"/>
          <w:szCs w:val="32"/>
          <w:lang w:val="en-US" w:eastAsia="zh-CN" w:bidi="ar-SA"/>
        </w:rPr>
        <w:t>及合格证明下载打印</w:t>
      </w:r>
    </w:p>
    <w:p w14:paraId="3CBC27B9">
      <w:pPr>
        <w:widowControl/>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组织考核单位在考核结束</w:t>
      </w:r>
      <w:r>
        <w:rPr>
          <w:rFonts w:hint="eastAsia" w:ascii="仿宋_GB2312" w:hAnsi="Calibri" w:eastAsia="仿宋_GB2312" w:cs="Times New Roman"/>
          <w:sz w:val="32"/>
          <w:szCs w:val="32"/>
          <w:u w:val="none"/>
          <w:lang w:val="en-US" w:eastAsia="zh-CN"/>
        </w:rPr>
        <w:t>15个工作日</w:t>
      </w:r>
      <w:r>
        <w:rPr>
          <w:rFonts w:hint="eastAsia" w:ascii="仿宋_GB2312" w:hAnsi="Calibri" w:eastAsia="仿宋_GB2312" w:cs="Times New Roman"/>
          <w:sz w:val="32"/>
          <w:szCs w:val="32"/>
          <w:lang w:val="en-US" w:eastAsia="zh-CN"/>
        </w:rPr>
        <w:t>内在浙江省计量专业项目考核系统公布考核结果，考生可在</w:t>
      </w:r>
      <w:r>
        <w:rPr>
          <w:rFonts w:hint="eastAsia" w:ascii="仿宋_GB2312" w:hAnsi="Calibri" w:eastAsia="仿宋_GB2312" w:cs="Times New Roman"/>
          <w:sz w:val="32"/>
          <w:szCs w:val="32"/>
          <w:u w:val="none"/>
          <w:lang w:val="en-US" w:eastAsia="zh-CN"/>
        </w:rPr>
        <w:t>浙江省计量专业项目考核系统</w:t>
      </w:r>
      <w:r>
        <w:rPr>
          <w:rFonts w:hint="eastAsia" w:ascii="仿宋_GB2312" w:hAnsi="Calibri" w:eastAsia="仿宋_GB2312" w:cs="Times New Roman"/>
          <w:sz w:val="32"/>
          <w:szCs w:val="32"/>
          <w:lang w:val="en-US" w:eastAsia="zh-CN"/>
        </w:rPr>
        <w:t>成绩查询中查询并下载打印合格证明。</w:t>
      </w:r>
    </w:p>
    <w:bookmarkEnd w:id="4"/>
    <w:p w14:paraId="6ADA2381">
      <w:pPr>
        <w:keepNext/>
        <w:keepLines/>
        <w:widowControl w:val="0"/>
        <w:bidi w:val="0"/>
        <w:spacing w:before="30" w:beforeLines="30" w:beforeAutospacing="0" w:after="6" w:afterLines="0" w:afterAutospacing="0" w:line="413" w:lineRule="auto"/>
        <w:ind w:firstLine="640" w:firstLineChars="200"/>
        <w:jc w:val="left"/>
        <w:outlineLvl w:val="1"/>
        <w:rPr>
          <w:rFonts w:hint="default" w:ascii="Arial" w:hAnsi="Arial" w:eastAsia="黑体" w:cs="宋体"/>
          <w:b w:val="0"/>
          <w:bCs/>
          <w:kern w:val="44"/>
          <w:sz w:val="32"/>
          <w:szCs w:val="32"/>
          <w:lang w:val="en-US" w:eastAsia="zh-CN" w:bidi="ar-SA"/>
        </w:rPr>
      </w:pPr>
      <w:r>
        <w:rPr>
          <w:rFonts w:hint="eastAsia" w:ascii="Arial" w:hAnsi="Arial" w:eastAsia="黑体" w:cs="宋体"/>
          <w:b w:val="0"/>
          <w:bCs/>
          <w:kern w:val="44"/>
          <w:sz w:val="32"/>
          <w:szCs w:val="32"/>
          <w:lang w:val="en-US" w:eastAsia="zh-CN" w:bidi="ar-SA"/>
        </w:rPr>
        <w:t>七、其它事项</w:t>
      </w:r>
    </w:p>
    <w:p w14:paraId="713746D1">
      <w:pPr>
        <w:widowControl/>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1、委外考核</w:t>
      </w:r>
    </w:p>
    <w:p w14:paraId="0745F944">
      <w:pPr>
        <w:widowControl/>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相应考点不能承担的专业项目考核，组织考核单位将委托至其它有能力承担该项目考核工作的单位。考生按要求准备并提交相关资料，在“备注栏”中注明所考项目的“专业”、“项目”、“子项目”、“规程号”及“规程名称”。</w:t>
      </w:r>
    </w:p>
    <w:p w14:paraId="3A8D1C45">
      <w:pPr>
        <w:widowControl/>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2、免考</w:t>
      </w:r>
    </w:p>
    <w:p w14:paraId="47691B62">
      <w:pPr>
        <w:widowControl/>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研制计量标准的主要技术人员，计量检定规程的主要起草人，若需从事相应计量专业项目的检定工作，向组织考核单位提交免考申请表及相关证明材料可以免考相应计量专业项目的操作技能考核。</w:t>
      </w:r>
    </w:p>
    <w:p w14:paraId="6F73AF6B">
      <w:pPr>
        <w:keepNext/>
        <w:keepLines/>
        <w:widowControl w:val="0"/>
        <w:bidi w:val="0"/>
        <w:spacing w:before="30" w:beforeLines="30" w:beforeAutospacing="0" w:after="6" w:afterLines="0" w:afterAutospacing="0" w:line="413" w:lineRule="auto"/>
        <w:ind w:firstLine="640" w:firstLineChars="200"/>
        <w:jc w:val="left"/>
        <w:outlineLvl w:val="1"/>
        <w:rPr>
          <w:rFonts w:hint="eastAsia" w:ascii="Arial" w:hAnsi="Arial" w:eastAsia="黑体" w:cs="宋体"/>
          <w:b w:val="0"/>
          <w:bCs/>
          <w:kern w:val="44"/>
          <w:sz w:val="32"/>
          <w:szCs w:val="32"/>
          <w:lang w:val="en-US" w:eastAsia="zh-CN" w:bidi="ar-SA"/>
        </w:rPr>
      </w:pPr>
      <w:r>
        <w:rPr>
          <w:rFonts w:hint="eastAsia" w:ascii="Arial" w:hAnsi="Arial" w:eastAsia="黑体" w:cs="宋体"/>
          <w:b w:val="0"/>
          <w:bCs/>
          <w:kern w:val="44"/>
          <w:sz w:val="32"/>
          <w:szCs w:val="32"/>
          <w:lang w:val="en-US" w:eastAsia="zh-CN" w:bidi="ar-SA"/>
        </w:rPr>
        <w:t>八、联系方式</w:t>
      </w:r>
    </w:p>
    <w:p w14:paraId="75AFA9CF">
      <w:pPr>
        <w:widowControl/>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组织考核单位：浙江省机关后勤和培训服务中心</w:t>
      </w:r>
    </w:p>
    <w:p w14:paraId="48D9E54F">
      <w:pPr>
        <w:widowControl/>
        <w:ind w:firstLine="640" w:firstLineChars="2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地址：浙江省杭州市西湖区文三路555号2号楼</w:t>
      </w:r>
    </w:p>
    <w:p w14:paraId="49671B59">
      <w:pPr>
        <w:widowControl/>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联系电话：0571-85382339，耿老师</w:t>
      </w:r>
    </w:p>
    <w:p w14:paraId="016A21E9">
      <w:pPr>
        <w:widowControl/>
        <w:ind w:firstLine="640" w:firstLineChars="200"/>
        <w:rPr>
          <w:rFonts w:hint="eastAsia" w:ascii="仿宋_GB2312" w:hAnsi="Calibri" w:eastAsia="仿宋_GB2312" w:cs="Times New Roman"/>
          <w:sz w:val="32"/>
          <w:szCs w:val="32"/>
          <w:lang w:val="en-US" w:eastAsia="zh-CN"/>
        </w:rPr>
      </w:pPr>
    </w:p>
    <w:p w14:paraId="7F3902B0">
      <w:pPr>
        <w:pStyle w:val="2"/>
        <w:rPr>
          <w:rFonts w:hint="eastAsia" w:ascii="仿宋_GB2312" w:hAnsi="Calibri" w:eastAsia="仿宋_GB2312" w:cs="Times New Roman"/>
          <w:sz w:val="32"/>
          <w:szCs w:val="32"/>
          <w:lang w:val="en-US" w:eastAsia="zh-CN"/>
        </w:rPr>
      </w:pPr>
    </w:p>
    <w:p w14:paraId="741EF212">
      <w:pPr>
        <w:pStyle w:val="2"/>
        <w:rPr>
          <w:rFonts w:hint="eastAsia" w:ascii="仿宋_GB2312" w:hAnsi="Calibri" w:eastAsia="仿宋_GB2312" w:cs="Times New Roman"/>
          <w:sz w:val="32"/>
          <w:szCs w:val="32"/>
          <w:lang w:val="en-US" w:eastAsia="zh-CN"/>
        </w:rPr>
      </w:pPr>
    </w:p>
    <w:p w14:paraId="1D63A2F3">
      <w:pPr>
        <w:pStyle w:val="2"/>
        <w:rPr>
          <w:rFonts w:hint="default" w:ascii="仿宋_GB2312" w:hAnsi="Calibri" w:eastAsia="仿宋_GB2312" w:cs="Times New Roman"/>
          <w:sz w:val="32"/>
          <w:szCs w:val="32"/>
          <w:lang w:val="en-US" w:eastAsia="zh-CN"/>
        </w:rPr>
      </w:pPr>
      <w:r>
        <w:rPr>
          <w:rFonts w:hint="eastAsia" w:hAnsi="Calibri" w:cs="Times New Roman"/>
          <w:sz w:val="32"/>
          <w:szCs w:val="32"/>
          <w:lang w:val="en-US" w:eastAsia="zh-CN"/>
        </w:rPr>
        <w:t xml:space="preserve">                       </w:t>
      </w:r>
      <w:r>
        <w:rPr>
          <w:rFonts w:hint="eastAsia" w:ascii="仿宋_GB2312" w:hAnsi="Calibri" w:eastAsia="仿宋_GB2312" w:cs="Times New Roman"/>
          <w:sz w:val="32"/>
          <w:szCs w:val="32"/>
          <w:lang w:val="en-US" w:eastAsia="zh-CN"/>
        </w:rPr>
        <w:t>浙江省机关后勤和培训服务中心</w:t>
      </w:r>
    </w:p>
    <w:p w14:paraId="695C305B">
      <w:pPr>
        <w:pStyle w:val="2"/>
        <w:rPr>
          <w:rFonts w:hint="default" w:ascii="仿宋_GB2312" w:hAnsi="Calibri" w:eastAsia="仿宋_GB2312" w:cs="Times New Roman"/>
          <w:sz w:val="32"/>
          <w:szCs w:val="32"/>
          <w:lang w:val="en-US" w:eastAsia="zh-CN"/>
        </w:rPr>
      </w:pPr>
      <w:r>
        <w:rPr>
          <w:rFonts w:hint="eastAsia" w:hAnsi="Calibri" w:cs="Times New Roman"/>
          <w:sz w:val="32"/>
          <w:szCs w:val="32"/>
          <w:lang w:val="en-US" w:eastAsia="zh-CN"/>
        </w:rPr>
        <w:t xml:space="preserve">                             2025年12月8日</w:t>
      </w:r>
    </w:p>
    <w:p w14:paraId="6170A263">
      <w:pPr>
        <w:pStyle w:val="2"/>
        <w:rPr>
          <w:rFonts w:hint="eastAsia" w:ascii="仿宋_GB2312" w:hAnsi="Calibri" w:eastAsia="仿宋_GB2312" w:cs="Times New Roman"/>
          <w:sz w:val="32"/>
          <w:szCs w:val="32"/>
          <w:lang w:val="en-US" w:eastAsia="zh-CN"/>
        </w:rPr>
      </w:pPr>
    </w:p>
    <w:p w14:paraId="72DD59C4">
      <w:pPr>
        <w:pStyle w:val="2"/>
        <w:rPr>
          <w:rFonts w:hint="eastAsia" w:ascii="仿宋_GB2312" w:hAnsi="Calibri" w:eastAsia="仿宋_GB2312" w:cs="Times New Roman"/>
          <w:sz w:val="32"/>
          <w:szCs w:val="32"/>
          <w:lang w:val="en-US" w:eastAsia="zh-CN"/>
        </w:rPr>
      </w:pPr>
    </w:p>
    <w:p w14:paraId="5DA1FEC6">
      <w:pPr>
        <w:pStyle w:val="2"/>
        <w:rPr>
          <w:rFonts w:hint="eastAsia"/>
          <w:lang w:val="en-US" w:eastAsia="zh-CN"/>
        </w:rPr>
      </w:pPr>
    </w:p>
    <w:p w14:paraId="096A8CA8">
      <w:pPr>
        <w:widowControl/>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附件一：2026年计量专业项目考核时间表</w:t>
      </w:r>
    </w:p>
    <w:p w14:paraId="28F67842">
      <w:pPr>
        <w:widowControl/>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附件二：计量专业项目考核申请表</w:t>
      </w:r>
    </w:p>
    <w:p w14:paraId="58EC4243">
      <w:pPr>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br w:type="page"/>
      </w:r>
    </w:p>
    <w:p w14:paraId="59296677">
      <w:pPr>
        <w:keepNext w:val="0"/>
        <w:keepLines w:val="0"/>
        <w:pageBreakBefore w:val="0"/>
        <w:widowControl/>
        <w:shd w:val="clear" w:color="auto" w:fill="FFFFFF"/>
        <w:kinsoku/>
        <w:wordWrap/>
        <w:overflowPunct/>
        <w:topLinePunct w:val="0"/>
        <w:autoSpaceDE/>
        <w:autoSpaceDN/>
        <w:bidi w:val="0"/>
        <w:adjustRightInd/>
        <w:snapToGrid/>
        <w:spacing w:before="147" w:beforeLines="50" w:beforeAutospacing="0" w:after="147" w:afterLines="50" w:afterAutospacing="0" w:line="594" w:lineRule="exact"/>
        <w:ind w:left="0" w:right="0" w:hanging="1680" w:hangingChars="400"/>
        <w:jc w:val="left"/>
        <w:textAlignment w:val="auto"/>
        <w:outlineLvl w:val="9"/>
        <w:rPr>
          <w:rFonts w:hint="default" w:ascii="Times New Roman" w:hAnsi="Times New Roman" w:eastAsia="方正小标宋简体" w:cs="Times New Roman"/>
          <w:b w:val="0"/>
          <w:bCs/>
          <w:color w:val="auto"/>
          <w:spacing w:val="10"/>
          <w:kern w:val="0"/>
          <w:sz w:val="40"/>
          <w:szCs w:val="40"/>
          <w:highlight w:val="none"/>
          <w:lang w:val="en-US" w:eastAsia="zh-CN" w:bidi="ar"/>
        </w:rPr>
      </w:pPr>
      <w:r>
        <w:rPr>
          <w:rFonts w:hint="eastAsia" w:ascii="Times New Roman" w:hAnsi="Times New Roman" w:eastAsia="方正小标宋简体" w:cs="Times New Roman"/>
          <w:b w:val="0"/>
          <w:bCs/>
          <w:color w:val="auto"/>
          <w:spacing w:val="10"/>
          <w:kern w:val="0"/>
          <w:sz w:val="40"/>
          <w:szCs w:val="40"/>
          <w:highlight w:val="none"/>
          <w:lang w:val="en-US" w:eastAsia="zh-CN" w:bidi="ar"/>
        </w:rPr>
        <w:t>附件一</w:t>
      </w:r>
      <w:bookmarkStart w:id="5" w:name="_GoBack"/>
      <w:bookmarkEnd w:id="5"/>
    </w:p>
    <w:p w14:paraId="725ED4C5">
      <w:pPr>
        <w:widowControl/>
        <w:jc w:val="center"/>
        <w:rPr>
          <w:rFonts w:hint="eastAsia" w:asciiTheme="minorEastAsia" w:hAnsiTheme="minorEastAsia" w:eastAsiaTheme="minorEastAsia" w:cstheme="minorEastAsia"/>
          <w:b/>
          <w:bCs/>
          <w:kern w:val="0"/>
          <w:sz w:val="40"/>
          <w:szCs w:val="40"/>
          <w:lang w:val="en-US" w:eastAsia="zh-CN"/>
        </w:rPr>
      </w:pPr>
    </w:p>
    <w:p w14:paraId="753D7A10">
      <w:pPr>
        <w:widowControl/>
        <w:jc w:val="center"/>
        <w:rPr>
          <w:rFonts w:hint="eastAsia" w:asciiTheme="minorEastAsia" w:hAnsiTheme="minorEastAsia" w:eastAsiaTheme="minorEastAsia" w:cstheme="minorEastAsia"/>
          <w:b/>
          <w:bCs/>
          <w:kern w:val="0"/>
          <w:sz w:val="40"/>
          <w:szCs w:val="40"/>
          <w:lang w:val="en-US" w:eastAsia="zh-CN"/>
        </w:rPr>
      </w:pPr>
      <w:r>
        <w:rPr>
          <w:rFonts w:hint="eastAsia" w:asciiTheme="minorEastAsia" w:hAnsiTheme="minorEastAsia" w:eastAsiaTheme="minorEastAsia" w:cstheme="minorEastAsia"/>
          <w:b/>
          <w:bCs/>
          <w:kern w:val="0"/>
          <w:sz w:val="40"/>
          <w:szCs w:val="40"/>
          <w:lang w:val="en-US" w:eastAsia="zh-CN"/>
        </w:rPr>
        <w:t>202</w:t>
      </w:r>
      <w:r>
        <w:rPr>
          <w:rFonts w:hint="eastAsia" w:asciiTheme="minorEastAsia" w:hAnsiTheme="minorEastAsia" w:cstheme="minorEastAsia"/>
          <w:b/>
          <w:bCs/>
          <w:kern w:val="0"/>
          <w:sz w:val="40"/>
          <w:szCs w:val="40"/>
          <w:lang w:val="en-US" w:eastAsia="zh-CN"/>
        </w:rPr>
        <w:t>6</w:t>
      </w:r>
      <w:r>
        <w:rPr>
          <w:rFonts w:hint="eastAsia" w:asciiTheme="minorEastAsia" w:hAnsiTheme="minorEastAsia" w:eastAsiaTheme="minorEastAsia" w:cstheme="minorEastAsia"/>
          <w:b/>
          <w:bCs/>
          <w:kern w:val="0"/>
          <w:sz w:val="40"/>
          <w:szCs w:val="40"/>
          <w:lang w:val="en-US" w:eastAsia="zh-CN"/>
        </w:rPr>
        <w:t>年计量专业项目考核时间表</w:t>
      </w:r>
    </w:p>
    <w:p w14:paraId="31CCB04D">
      <w:pPr>
        <w:widowControl/>
        <w:ind w:firstLine="556"/>
        <w:rPr>
          <w:rFonts w:hint="eastAsia" w:ascii="仿宋_GB2312" w:eastAsia="仿宋_GB2312" w:hAnsiTheme="minorHAnsi"/>
          <w:sz w:val="32"/>
          <w:szCs w:val="32"/>
          <w:lang w:val="en-US" w:eastAsia="zh-CN"/>
        </w:rPr>
      </w:pPr>
    </w:p>
    <w:p w14:paraId="0FB22D3A">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ascii="微软雅黑" w:hAnsi="微软雅黑" w:eastAsia="微软雅黑" w:cs="宋体"/>
          <w:kern w:val="0"/>
          <w:sz w:val="32"/>
          <w:szCs w:val="32"/>
        </w:rPr>
      </w:pPr>
      <w:r>
        <w:rPr>
          <w:rFonts w:hint="eastAsia" w:ascii="宋体" w:hAnsi="宋体" w:eastAsia="宋体" w:cs="宋体"/>
          <w:b/>
          <w:bCs/>
          <w:kern w:val="0"/>
          <w:sz w:val="32"/>
          <w:szCs w:val="32"/>
        </w:rPr>
        <w:t>一、常规专业项目</w:t>
      </w:r>
      <w:r>
        <w:rPr>
          <w:rFonts w:hint="eastAsia" w:ascii="宋体" w:hAnsi="宋体" w:eastAsia="宋体" w:cs="宋体"/>
          <w:b/>
          <w:bCs/>
          <w:kern w:val="0"/>
          <w:sz w:val="32"/>
          <w:szCs w:val="32"/>
          <w:lang w:val="en-US" w:eastAsia="zh-CN"/>
        </w:rPr>
        <w:t>考核</w:t>
      </w:r>
      <w:r>
        <w:rPr>
          <w:rFonts w:hint="eastAsia" w:ascii="宋体" w:hAnsi="宋体" w:eastAsia="宋体" w:cs="宋体"/>
          <w:b/>
          <w:bCs/>
          <w:kern w:val="0"/>
          <w:sz w:val="32"/>
          <w:szCs w:val="32"/>
        </w:rPr>
        <w:t>安排</w:t>
      </w:r>
    </w:p>
    <w:tbl>
      <w:tblPr>
        <w:tblStyle w:val="11"/>
        <w:tblpPr w:leftFromText="180" w:rightFromText="180" w:vertAnchor="text" w:horzAnchor="page" w:tblpX="949" w:tblpY="45"/>
        <w:tblOverlap w:val="never"/>
        <w:tblW w:w="10120" w:type="dxa"/>
        <w:tblCellSpacing w:w="0" w:type="dxa"/>
        <w:tblInd w:w="0" w:type="dxa"/>
        <w:tblLayout w:type="fixed"/>
        <w:tblCellMar>
          <w:top w:w="0" w:type="dxa"/>
          <w:left w:w="0" w:type="dxa"/>
          <w:bottom w:w="0" w:type="dxa"/>
          <w:right w:w="0" w:type="dxa"/>
        </w:tblCellMar>
      </w:tblPr>
      <w:tblGrid>
        <w:gridCol w:w="1702"/>
        <w:gridCol w:w="2806"/>
        <w:gridCol w:w="2806"/>
        <w:gridCol w:w="2806"/>
      </w:tblGrid>
      <w:tr w14:paraId="118E4521">
        <w:tblPrEx>
          <w:tblCellMar>
            <w:top w:w="0" w:type="dxa"/>
            <w:left w:w="0" w:type="dxa"/>
            <w:bottom w:w="0" w:type="dxa"/>
            <w:right w:w="0" w:type="dxa"/>
          </w:tblCellMar>
        </w:tblPrEx>
        <w:trPr>
          <w:trHeight w:val="907" w:hRule="exact"/>
          <w:tblCellSpacing w:w="0" w:type="dxa"/>
        </w:trPr>
        <w:tc>
          <w:tcPr>
            <w:tcW w:w="1718" w:type="dxa"/>
            <w:tcBorders>
              <w:top w:val="single" w:color="auto" w:sz="4" w:space="0"/>
              <w:left w:val="single" w:color="000000" w:sz="6" w:space="0"/>
              <w:bottom w:val="single" w:color="auto" w:sz="4" w:space="0"/>
              <w:right w:val="single" w:color="auto" w:sz="4" w:space="0"/>
            </w:tcBorders>
            <w:shd w:val="clear" w:color="auto" w:fill="auto"/>
            <w:tcMar>
              <w:top w:w="0" w:type="dxa"/>
              <w:left w:w="105" w:type="dxa"/>
              <w:bottom w:w="0" w:type="dxa"/>
              <w:right w:w="105" w:type="dxa"/>
            </w:tcMar>
            <w:vAlign w:val="center"/>
          </w:tcPr>
          <w:p w14:paraId="538E1624">
            <w:pPr>
              <w:widowControl/>
              <w:spacing w:before="100" w:beforeAutospacing="1" w:after="100" w:afterAutospacing="1"/>
              <w:jc w:val="center"/>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考核档期</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51A7288">
            <w:pPr>
              <w:widowControl/>
              <w:spacing w:before="100" w:beforeAutospacing="1" w:after="100" w:afterAutospacing="1"/>
              <w:jc w:val="center"/>
              <w:rPr>
                <w:rFonts w:ascii="宋体" w:hAnsi="宋体" w:eastAsia="宋体" w:cs="宋体"/>
                <w:b/>
                <w:bCs/>
                <w:kern w:val="0"/>
                <w:sz w:val="28"/>
                <w:szCs w:val="28"/>
              </w:rPr>
            </w:pPr>
            <w:r>
              <w:rPr>
                <w:rFonts w:hint="eastAsia" w:ascii="宋体" w:hAnsi="宋体" w:eastAsia="宋体" w:cs="宋体"/>
                <w:b/>
                <w:bCs/>
                <w:kern w:val="0"/>
                <w:sz w:val="28"/>
                <w:szCs w:val="28"/>
              </w:rPr>
              <w:t>报名时间</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7C32E42">
            <w:pPr>
              <w:widowControl/>
              <w:spacing w:before="100" w:beforeAutospacing="1" w:after="100" w:afterAutospacing="1"/>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知识</w:t>
            </w:r>
            <w:r>
              <w:rPr>
                <w:rFonts w:hint="eastAsia" w:ascii="宋体" w:hAnsi="宋体" w:eastAsia="宋体" w:cs="宋体"/>
                <w:b/>
                <w:bCs/>
                <w:kern w:val="0"/>
                <w:sz w:val="28"/>
                <w:szCs w:val="28"/>
                <w:lang w:val="en-US" w:eastAsia="zh-CN"/>
              </w:rPr>
              <w:t>考核</w:t>
            </w:r>
            <w:r>
              <w:rPr>
                <w:rFonts w:hint="eastAsia" w:ascii="宋体" w:hAnsi="宋体" w:eastAsia="宋体" w:cs="宋体"/>
                <w:b/>
                <w:bCs/>
                <w:kern w:val="0"/>
                <w:sz w:val="28"/>
                <w:szCs w:val="28"/>
              </w:rPr>
              <w:t>时间</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32B9F11">
            <w:pPr>
              <w:widowControl/>
              <w:spacing w:before="100" w:beforeAutospacing="1" w:after="100" w:afterAutospacing="1"/>
              <w:jc w:val="center"/>
              <w:rPr>
                <w:rFonts w:ascii="宋体" w:hAnsi="宋体" w:eastAsia="宋体" w:cs="宋体"/>
                <w:b/>
                <w:bCs/>
                <w:kern w:val="0"/>
                <w:sz w:val="28"/>
                <w:szCs w:val="28"/>
              </w:rPr>
            </w:pPr>
            <w:r>
              <w:rPr>
                <w:rFonts w:hint="eastAsia" w:ascii="宋体" w:hAnsi="宋体" w:eastAsia="宋体" w:cs="宋体"/>
                <w:b/>
                <w:bCs/>
                <w:kern w:val="0"/>
                <w:sz w:val="28"/>
                <w:szCs w:val="28"/>
                <w:lang w:eastAsia="zh-CN"/>
              </w:rPr>
              <w:t>操作</w:t>
            </w:r>
            <w:r>
              <w:rPr>
                <w:rFonts w:hint="eastAsia" w:ascii="宋体" w:hAnsi="宋体" w:eastAsia="宋体" w:cs="宋体"/>
                <w:b/>
                <w:bCs/>
                <w:kern w:val="0"/>
                <w:sz w:val="28"/>
                <w:szCs w:val="28"/>
                <w:lang w:val="en-US" w:eastAsia="zh-CN"/>
              </w:rPr>
              <w:t>技能考核</w:t>
            </w:r>
            <w:r>
              <w:rPr>
                <w:rFonts w:hint="eastAsia" w:ascii="宋体" w:hAnsi="宋体" w:eastAsia="宋体" w:cs="宋体"/>
                <w:b/>
                <w:bCs/>
                <w:kern w:val="0"/>
                <w:sz w:val="28"/>
                <w:szCs w:val="28"/>
              </w:rPr>
              <w:t>时间</w:t>
            </w:r>
          </w:p>
        </w:tc>
      </w:tr>
      <w:tr w14:paraId="612EF96B">
        <w:tblPrEx>
          <w:tblCellMar>
            <w:top w:w="0" w:type="dxa"/>
            <w:left w:w="0" w:type="dxa"/>
            <w:bottom w:w="0" w:type="dxa"/>
            <w:right w:w="0" w:type="dxa"/>
          </w:tblCellMar>
        </w:tblPrEx>
        <w:trPr>
          <w:trHeight w:val="907" w:hRule="exact"/>
          <w:tblCellSpacing w:w="0" w:type="dxa"/>
        </w:trPr>
        <w:tc>
          <w:tcPr>
            <w:tcW w:w="17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6724A31">
            <w:pPr>
              <w:widowControl/>
              <w:spacing w:before="100" w:beforeAutospacing="1" w:after="100" w:afterAutospacing="1"/>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第一期</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0175F99">
            <w:pPr>
              <w:widowControl/>
              <w:spacing w:before="100" w:beforeAutospacing="1" w:after="100" w:afterAutospacing="1"/>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1月5日-2月27日</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C506715">
            <w:pPr>
              <w:widowControl/>
              <w:spacing w:before="100" w:beforeAutospacing="1" w:after="100" w:afterAutospacing="1"/>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截止3月13日前</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7554AE9">
            <w:pPr>
              <w:widowControl/>
              <w:spacing w:before="100" w:beforeAutospacing="1" w:after="100" w:afterAutospacing="1"/>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3月26日-27日</w:t>
            </w:r>
          </w:p>
        </w:tc>
      </w:tr>
      <w:tr w14:paraId="410607AA">
        <w:tblPrEx>
          <w:tblCellMar>
            <w:top w:w="0" w:type="dxa"/>
            <w:left w:w="0" w:type="dxa"/>
            <w:bottom w:w="0" w:type="dxa"/>
            <w:right w:w="0" w:type="dxa"/>
          </w:tblCellMar>
        </w:tblPrEx>
        <w:trPr>
          <w:trHeight w:val="907" w:hRule="exact"/>
          <w:tblCellSpacing w:w="0" w:type="dxa"/>
        </w:trPr>
        <w:tc>
          <w:tcPr>
            <w:tcW w:w="17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1D0DB41">
            <w:pPr>
              <w:widowControl/>
              <w:spacing w:before="100" w:beforeAutospacing="1" w:after="100" w:afterAutospacing="1"/>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第二期</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A132DE4">
            <w:pPr>
              <w:widowControl/>
              <w:spacing w:before="100" w:beforeAutospacing="1" w:after="100" w:afterAutospacing="1"/>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截止4月24日前</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6B0A9B3">
            <w:pPr>
              <w:widowControl/>
              <w:spacing w:before="100" w:beforeAutospacing="1" w:after="100" w:afterAutospacing="1"/>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截止5月15日前</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CD8407D">
            <w:pPr>
              <w:widowControl/>
              <w:spacing w:before="100" w:beforeAutospacing="1" w:after="100" w:afterAutospacing="1"/>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5月28日-29日</w:t>
            </w:r>
          </w:p>
        </w:tc>
      </w:tr>
      <w:tr w14:paraId="2937EC46">
        <w:tblPrEx>
          <w:tblCellMar>
            <w:top w:w="0" w:type="dxa"/>
            <w:left w:w="0" w:type="dxa"/>
            <w:bottom w:w="0" w:type="dxa"/>
            <w:right w:w="0" w:type="dxa"/>
          </w:tblCellMar>
        </w:tblPrEx>
        <w:trPr>
          <w:trHeight w:val="907" w:hRule="exact"/>
          <w:tblCellSpacing w:w="0" w:type="dxa"/>
        </w:trPr>
        <w:tc>
          <w:tcPr>
            <w:tcW w:w="17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E7A26E0">
            <w:pPr>
              <w:widowControl/>
              <w:spacing w:before="100" w:beforeAutospacing="1" w:after="100" w:afterAutospacing="1"/>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第三期</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A87BC0C">
            <w:pPr>
              <w:widowControl/>
              <w:spacing w:before="100" w:beforeAutospacing="1" w:after="100" w:afterAutospacing="1"/>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截止6</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26</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lang w:val="en-US" w:eastAsia="zh-CN"/>
              </w:rPr>
              <w:t>前</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60CBA71">
            <w:pPr>
              <w:widowControl/>
              <w:spacing w:before="100" w:beforeAutospacing="1" w:after="100" w:afterAutospacing="1"/>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截止7月10日前</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7749AC4">
            <w:pPr>
              <w:widowControl/>
              <w:spacing w:before="100" w:beforeAutospacing="1" w:after="100" w:afterAutospacing="1"/>
              <w:jc w:val="center"/>
              <w:rPr>
                <w:rFonts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23</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lang w:val="en-US" w:eastAsia="zh-CN"/>
              </w:rPr>
              <w:t>24</w:t>
            </w:r>
            <w:r>
              <w:rPr>
                <w:rFonts w:hint="eastAsia" w:ascii="宋体" w:hAnsi="宋体" w:eastAsia="宋体" w:cs="宋体"/>
                <w:color w:val="auto"/>
                <w:kern w:val="0"/>
                <w:sz w:val="28"/>
                <w:szCs w:val="28"/>
              </w:rPr>
              <w:t>日</w:t>
            </w:r>
          </w:p>
        </w:tc>
      </w:tr>
      <w:tr w14:paraId="470F5F88">
        <w:tblPrEx>
          <w:tblCellMar>
            <w:top w:w="0" w:type="dxa"/>
            <w:left w:w="0" w:type="dxa"/>
            <w:bottom w:w="0" w:type="dxa"/>
            <w:right w:w="0" w:type="dxa"/>
          </w:tblCellMar>
        </w:tblPrEx>
        <w:trPr>
          <w:trHeight w:val="907" w:hRule="exact"/>
          <w:tblCellSpacing w:w="0" w:type="dxa"/>
        </w:trPr>
        <w:tc>
          <w:tcPr>
            <w:tcW w:w="17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3271037">
            <w:pPr>
              <w:widowControl/>
              <w:spacing w:before="100" w:beforeAutospacing="1" w:after="100" w:afterAutospacing="1"/>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第四期</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3CF44AC">
            <w:pPr>
              <w:widowControl/>
              <w:spacing w:before="100" w:beforeAutospacing="1" w:after="100" w:afterAutospacing="1"/>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截止8</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21</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lang w:val="en-US" w:eastAsia="zh-CN"/>
              </w:rPr>
              <w:t>前</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FEE59AC">
            <w:pPr>
              <w:widowControl/>
              <w:spacing w:before="100" w:beforeAutospacing="1" w:after="100" w:afterAutospacing="1"/>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截止9月11日前</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3EE2098">
            <w:pPr>
              <w:widowControl/>
              <w:spacing w:before="100" w:beforeAutospacing="1" w:after="100" w:afterAutospacing="1"/>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9</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24</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lang w:val="en-US" w:eastAsia="zh-CN"/>
              </w:rPr>
              <w:t>25</w:t>
            </w:r>
            <w:r>
              <w:rPr>
                <w:rFonts w:hint="eastAsia" w:ascii="宋体" w:hAnsi="宋体" w:eastAsia="宋体" w:cs="宋体"/>
                <w:color w:val="auto"/>
                <w:kern w:val="0"/>
                <w:sz w:val="28"/>
                <w:szCs w:val="28"/>
              </w:rPr>
              <w:t>日</w:t>
            </w:r>
          </w:p>
        </w:tc>
      </w:tr>
      <w:tr w14:paraId="14A3D725">
        <w:tblPrEx>
          <w:tblCellMar>
            <w:top w:w="0" w:type="dxa"/>
            <w:left w:w="0" w:type="dxa"/>
            <w:bottom w:w="0" w:type="dxa"/>
            <w:right w:w="0" w:type="dxa"/>
          </w:tblCellMar>
        </w:tblPrEx>
        <w:trPr>
          <w:trHeight w:val="907" w:hRule="exact"/>
          <w:tblCellSpacing w:w="0" w:type="dxa"/>
        </w:trPr>
        <w:tc>
          <w:tcPr>
            <w:tcW w:w="171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C551E43">
            <w:pPr>
              <w:widowControl/>
              <w:spacing w:before="100" w:beforeAutospacing="1" w:after="100" w:afterAutospacing="1"/>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第五期</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EC795C7">
            <w:pPr>
              <w:widowControl/>
              <w:spacing w:before="100" w:beforeAutospacing="1" w:after="100" w:afterAutospacing="1"/>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截止11</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06</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lang w:val="en-US" w:eastAsia="zh-CN"/>
              </w:rPr>
              <w:t>前</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D48B9F4">
            <w:pPr>
              <w:widowControl/>
              <w:spacing w:before="100" w:beforeAutospacing="1" w:after="100" w:afterAutospacing="1"/>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截止11月13日前</w:t>
            </w:r>
          </w:p>
        </w:tc>
        <w:tc>
          <w:tcPr>
            <w:tcW w:w="28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06565E6">
            <w:pPr>
              <w:widowControl/>
              <w:spacing w:before="100" w:beforeAutospacing="1" w:after="100" w:afterAutospacing="1"/>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26</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lang w:val="en-US" w:eastAsia="zh-CN"/>
              </w:rPr>
              <w:t>27</w:t>
            </w:r>
            <w:r>
              <w:rPr>
                <w:rFonts w:hint="eastAsia" w:ascii="宋体" w:hAnsi="宋体" w:eastAsia="宋体" w:cs="宋体"/>
                <w:color w:val="auto"/>
                <w:kern w:val="0"/>
                <w:sz w:val="28"/>
                <w:szCs w:val="28"/>
              </w:rPr>
              <w:t>日</w:t>
            </w:r>
          </w:p>
        </w:tc>
      </w:tr>
      <w:tr w14:paraId="71C2B243">
        <w:tblPrEx>
          <w:tblCellMar>
            <w:top w:w="0" w:type="dxa"/>
            <w:left w:w="0" w:type="dxa"/>
            <w:bottom w:w="0" w:type="dxa"/>
            <w:right w:w="0" w:type="dxa"/>
          </w:tblCellMar>
        </w:tblPrEx>
        <w:trPr>
          <w:trHeight w:val="666" w:hRule="atLeast"/>
          <w:tblCellSpacing w:w="0" w:type="dxa"/>
        </w:trPr>
        <w:tc>
          <w:tcPr>
            <w:tcW w:w="2835"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1ECA73F">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备注：</w:t>
            </w:r>
          </w:p>
          <w:p w14:paraId="7DDEEE50">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1.如遇特殊情况，考核时间发生变动以官网通知为准；</w:t>
            </w:r>
          </w:p>
          <w:p w14:paraId="468A606E">
            <w:pPr>
              <w:widowControl w:val="0"/>
              <w:spacing w:line="360" w:lineRule="auto"/>
              <w:jc w:val="both"/>
              <w:rPr>
                <w:rFonts w:hint="default"/>
                <w:lang w:val="en-US" w:eastAsia="zh-CN"/>
              </w:rPr>
            </w:pPr>
            <w:r>
              <w:rPr>
                <w:rFonts w:hint="eastAsia" w:ascii="宋体" w:hAnsi="宋体" w:eastAsia="宋体" w:cs="宋体"/>
                <w:color w:val="auto"/>
                <w:kern w:val="0"/>
                <w:sz w:val="24"/>
                <w:szCs w:val="24"/>
                <w:lang w:val="en-US" w:eastAsia="zh-CN" w:bidi="ar-SA"/>
              </w:rPr>
              <w:t>2.计量专业项目知识考核时间由考生报考通过后登录考试系统进行自主选择，原则上安排每周周二、周四，每月安排一天非工作日；考核成绩全年有效，同一专业大类仅需考一次。</w:t>
            </w:r>
          </w:p>
        </w:tc>
      </w:tr>
    </w:tbl>
    <w:p w14:paraId="206195FA">
      <w:pPr>
        <w:widowControl/>
        <w:pBdr>
          <w:top w:val="single" w:color="auto" w:sz="4" w:space="0"/>
          <w:left w:val="single" w:color="auto" w:sz="4" w:space="0"/>
          <w:bottom w:val="single" w:color="auto" w:sz="4" w:space="0"/>
          <w:right w:val="single" w:color="auto" w:sz="4" w:space="0"/>
          <w:between w:val="single" w:color="auto" w:sz="4" w:space="0"/>
        </w:pBdr>
        <w:jc w:val="left"/>
        <w:rPr>
          <w:rFonts w:hint="eastAsia" w:ascii="宋体" w:hAnsi="宋体" w:eastAsia="宋体" w:cs="宋体"/>
          <w:b/>
          <w:bCs/>
          <w:kern w:val="0"/>
          <w:sz w:val="36"/>
          <w:szCs w:val="36"/>
        </w:rPr>
      </w:pPr>
      <w:r>
        <w:rPr>
          <w:rFonts w:hint="eastAsia" w:ascii="宋体" w:hAnsi="宋体" w:eastAsia="宋体" w:cs="宋体"/>
          <w:b/>
          <w:bCs/>
          <w:kern w:val="0"/>
          <w:sz w:val="36"/>
          <w:szCs w:val="36"/>
        </w:rPr>
        <w:br w:type="page"/>
      </w:r>
    </w:p>
    <w:p w14:paraId="2996038C">
      <w:pPr>
        <w:widowControl/>
        <w:spacing w:before="100" w:beforeAutospacing="1" w:after="100" w:afterAutospacing="1"/>
        <w:jc w:val="left"/>
        <w:rPr>
          <w:rFonts w:ascii="微软雅黑" w:hAnsi="微软雅黑" w:eastAsia="微软雅黑" w:cs="宋体"/>
          <w:kern w:val="0"/>
          <w:sz w:val="32"/>
          <w:szCs w:val="32"/>
        </w:rPr>
      </w:pPr>
      <w:r>
        <w:rPr>
          <w:rFonts w:hint="eastAsia" w:ascii="宋体" w:hAnsi="宋体" w:eastAsia="宋体" w:cs="宋体"/>
          <w:b/>
          <w:bCs/>
          <w:kern w:val="0"/>
          <w:sz w:val="32"/>
          <w:szCs w:val="32"/>
        </w:rPr>
        <w:t>二、特殊专业项目考试安排</w:t>
      </w:r>
    </w:p>
    <w:tbl>
      <w:tblPr>
        <w:tblStyle w:val="11"/>
        <w:tblW w:w="10412" w:type="dxa"/>
        <w:jc w:val="center"/>
        <w:tblCellSpacing w:w="0" w:type="dxa"/>
        <w:tblLayout w:type="fixed"/>
        <w:tblCellMar>
          <w:top w:w="0" w:type="dxa"/>
          <w:left w:w="0" w:type="dxa"/>
          <w:bottom w:w="0" w:type="dxa"/>
          <w:right w:w="0" w:type="dxa"/>
        </w:tblCellMar>
      </w:tblPr>
      <w:tblGrid>
        <w:gridCol w:w="4317"/>
        <w:gridCol w:w="2117"/>
        <w:gridCol w:w="2212"/>
        <w:gridCol w:w="1766"/>
      </w:tblGrid>
      <w:tr w14:paraId="4F8FCD09">
        <w:tblPrEx>
          <w:tblCellMar>
            <w:top w:w="0" w:type="dxa"/>
            <w:left w:w="0" w:type="dxa"/>
            <w:bottom w:w="0" w:type="dxa"/>
            <w:right w:w="0" w:type="dxa"/>
          </w:tblCellMar>
        </w:tblPrEx>
        <w:trPr>
          <w:trHeight w:val="528" w:hRule="exact"/>
          <w:tblCellSpacing w:w="0" w:type="dxa"/>
          <w:jc w:val="center"/>
        </w:trPr>
        <w:tc>
          <w:tcPr>
            <w:tcW w:w="431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45F5D84">
            <w:pPr>
              <w:widowControl/>
              <w:spacing w:before="100" w:beforeAutospacing="1" w:after="100" w:afterAutospacing="1"/>
              <w:jc w:val="center"/>
              <w:rPr>
                <w:rFonts w:ascii="宋体" w:hAnsi="宋体" w:eastAsia="宋体" w:cs="宋体"/>
                <w:b/>
                <w:bCs/>
                <w:kern w:val="0"/>
                <w:sz w:val="32"/>
                <w:szCs w:val="32"/>
              </w:rPr>
            </w:pPr>
            <w:r>
              <w:rPr>
                <w:rFonts w:hint="eastAsia" w:ascii="宋体" w:hAnsi="宋体" w:eastAsia="宋体" w:cs="宋体"/>
                <w:b/>
                <w:bCs/>
                <w:kern w:val="0"/>
                <w:sz w:val="32"/>
                <w:szCs w:val="32"/>
              </w:rPr>
              <w:t>项目</w:t>
            </w:r>
          </w:p>
        </w:tc>
        <w:tc>
          <w:tcPr>
            <w:tcW w:w="211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2039A38">
            <w:pPr>
              <w:widowControl/>
              <w:spacing w:before="100" w:beforeAutospacing="1" w:after="100" w:afterAutospacing="1"/>
              <w:jc w:val="center"/>
              <w:rPr>
                <w:rFonts w:ascii="宋体" w:hAnsi="宋体" w:eastAsia="宋体" w:cs="宋体"/>
                <w:b/>
                <w:bCs/>
                <w:kern w:val="0"/>
                <w:sz w:val="32"/>
                <w:szCs w:val="32"/>
              </w:rPr>
            </w:pPr>
            <w:r>
              <w:rPr>
                <w:rFonts w:hint="eastAsia" w:ascii="宋体" w:hAnsi="宋体" w:eastAsia="宋体" w:cs="宋体"/>
                <w:b/>
                <w:bCs/>
                <w:kern w:val="0"/>
                <w:sz w:val="32"/>
                <w:szCs w:val="32"/>
              </w:rPr>
              <w:t>规程/规范号</w:t>
            </w:r>
          </w:p>
        </w:tc>
        <w:tc>
          <w:tcPr>
            <w:tcW w:w="2212"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558C6C0">
            <w:pPr>
              <w:widowControl/>
              <w:spacing w:before="100" w:beforeAutospacing="1" w:after="100" w:afterAutospacing="1"/>
              <w:jc w:val="center"/>
              <w:rPr>
                <w:rFonts w:ascii="宋体" w:hAnsi="宋体" w:eastAsia="宋体" w:cs="宋体"/>
                <w:b/>
                <w:bCs/>
                <w:kern w:val="0"/>
                <w:sz w:val="32"/>
                <w:szCs w:val="32"/>
              </w:rPr>
            </w:pPr>
            <w:r>
              <w:rPr>
                <w:rFonts w:hint="eastAsia" w:ascii="宋体" w:hAnsi="宋体" w:eastAsia="宋体" w:cs="宋体"/>
                <w:b/>
                <w:bCs/>
                <w:kern w:val="0"/>
                <w:sz w:val="32"/>
                <w:szCs w:val="32"/>
              </w:rPr>
              <w:t>报名时间</w:t>
            </w:r>
          </w:p>
        </w:tc>
        <w:tc>
          <w:tcPr>
            <w:tcW w:w="1766"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80A04F7">
            <w:pPr>
              <w:widowControl/>
              <w:spacing w:before="100" w:beforeAutospacing="1" w:after="100" w:afterAutospacing="1"/>
              <w:jc w:val="center"/>
              <w:rPr>
                <w:rFonts w:ascii="宋体" w:hAnsi="宋体" w:eastAsia="宋体" w:cs="宋体"/>
                <w:b/>
                <w:bCs/>
                <w:kern w:val="0"/>
                <w:sz w:val="32"/>
                <w:szCs w:val="32"/>
              </w:rPr>
            </w:pPr>
            <w:r>
              <w:rPr>
                <w:rFonts w:hint="eastAsia" w:ascii="宋体" w:hAnsi="宋体" w:eastAsia="宋体" w:cs="宋体"/>
                <w:b/>
                <w:bCs/>
                <w:kern w:val="0"/>
                <w:sz w:val="32"/>
                <w:szCs w:val="32"/>
              </w:rPr>
              <w:t>考试时间</w:t>
            </w:r>
          </w:p>
        </w:tc>
      </w:tr>
      <w:tr w14:paraId="08322C9E">
        <w:tblPrEx>
          <w:tblCellMar>
            <w:top w:w="0" w:type="dxa"/>
            <w:left w:w="0" w:type="dxa"/>
            <w:bottom w:w="0" w:type="dxa"/>
            <w:right w:w="0" w:type="dxa"/>
          </w:tblCellMar>
        </w:tblPrEx>
        <w:trPr>
          <w:trHeight w:val="23" w:hRule="atLeast"/>
          <w:tblCellSpacing w:w="0" w:type="dxa"/>
          <w:jc w:val="center"/>
        </w:trPr>
        <w:tc>
          <w:tcPr>
            <w:tcW w:w="43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7260865">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医用诊断X射线辐射源检定规程</w:t>
            </w:r>
          </w:p>
        </w:tc>
        <w:tc>
          <w:tcPr>
            <w:tcW w:w="211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D0056B2">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JJG 744-2004</w:t>
            </w:r>
          </w:p>
        </w:tc>
        <w:tc>
          <w:tcPr>
            <w:tcW w:w="3978" w:type="dxa"/>
            <w:gridSpan w:val="2"/>
            <w:vMerge w:val="restart"/>
            <w:tcBorders>
              <w:top w:val="nil"/>
              <w:left w:val="nil"/>
              <w:right w:val="single" w:color="000000" w:sz="6" w:space="0"/>
            </w:tcBorders>
            <w:shd w:val="clear" w:color="auto" w:fill="auto"/>
            <w:tcMar>
              <w:top w:w="0" w:type="dxa"/>
              <w:left w:w="105" w:type="dxa"/>
              <w:bottom w:w="0" w:type="dxa"/>
              <w:right w:w="105" w:type="dxa"/>
            </w:tcMar>
            <w:vAlign w:val="center"/>
          </w:tcPr>
          <w:p w14:paraId="3537C3D4">
            <w:pPr>
              <w:widowControl/>
              <w:spacing w:before="100" w:beforeAutospacing="1" w:after="100" w:afterAutospacing="1"/>
              <w:jc w:val="center"/>
              <w:rPr>
                <w:rFonts w:ascii="微软雅黑" w:hAnsi="微软雅黑" w:eastAsia="微软雅黑" w:cs="宋体"/>
                <w:color w:val="FF0000"/>
                <w:kern w:val="0"/>
                <w:szCs w:val="21"/>
              </w:rPr>
            </w:pPr>
            <w:r>
              <w:rPr>
                <w:rFonts w:hint="eastAsia" w:ascii="宋体" w:hAnsi="宋体" w:eastAsia="宋体" w:cs="宋体"/>
                <w:kern w:val="0"/>
                <w:sz w:val="36"/>
                <w:szCs w:val="36"/>
                <w:lang w:val="en-US" w:eastAsia="zh-CN"/>
              </w:rPr>
              <w:t>参考第二、第五期报名时间及考核时间</w:t>
            </w:r>
          </w:p>
        </w:tc>
      </w:tr>
      <w:tr w14:paraId="7FF6E7C6">
        <w:tblPrEx>
          <w:tblCellMar>
            <w:top w:w="0" w:type="dxa"/>
            <w:left w:w="0" w:type="dxa"/>
            <w:bottom w:w="0" w:type="dxa"/>
            <w:right w:w="0" w:type="dxa"/>
          </w:tblCellMar>
        </w:tblPrEx>
        <w:trPr>
          <w:trHeight w:val="23" w:hRule="atLeast"/>
          <w:tblCellSpacing w:w="0" w:type="dxa"/>
          <w:jc w:val="center"/>
        </w:trPr>
        <w:tc>
          <w:tcPr>
            <w:tcW w:w="43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054C9DF">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医用数字摄影（CR、DR）系统X射线辐射源检定规程</w:t>
            </w:r>
          </w:p>
        </w:tc>
        <w:tc>
          <w:tcPr>
            <w:tcW w:w="211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7384B58">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JJG 1078-2012</w:t>
            </w:r>
          </w:p>
        </w:tc>
        <w:tc>
          <w:tcPr>
            <w:tcW w:w="3978" w:type="dxa"/>
            <w:gridSpan w:val="2"/>
            <w:vMerge w:val="continue"/>
            <w:tcBorders>
              <w:left w:val="nil"/>
              <w:right w:val="single" w:color="000000" w:sz="6" w:space="0"/>
            </w:tcBorders>
            <w:vAlign w:val="center"/>
          </w:tcPr>
          <w:p w14:paraId="5489C443">
            <w:pPr>
              <w:widowControl/>
              <w:jc w:val="left"/>
              <w:rPr>
                <w:rFonts w:ascii="微软雅黑" w:hAnsi="微软雅黑" w:eastAsia="微软雅黑" w:cs="宋体"/>
                <w:kern w:val="0"/>
                <w:szCs w:val="21"/>
              </w:rPr>
            </w:pPr>
          </w:p>
        </w:tc>
      </w:tr>
      <w:tr w14:paraId="12802B2D">
        <w:tblPrEx>
          <w:tblCellMar>
            <w:top w:w="0" w:type="dxa"/>
            <w:left w:w="0" w:type="dxa"/>
            <w:bottom w:w="0" w:type="dxa"/>
            <w:right w:w="0" w:type="dxa"/>
          </w:tblCellMar>
        </w:tblPrEx>
        <w:trPr>
          <w:trHeight w:val="23" w:hRule="atLeast"/>
          <w:tblCellSpacing w:w="0" w:type="dxa"/>
          <w:jc w:val="center"/>
        </w:trPr>
        <w:tc>
          <w:tcPr>
            <w:tcW w:w="43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F425BDC">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医用诊断螺旋计算机断层摄影装置（CT）X射线辐射源检定规程</w:t>
            </w:r>
          </w:p>
        </w:tc>
        <w:tc>
          <w:tcPr>
            <w:tcW w:w="211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04E5A6B">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JJG 961-2017</w:t>
            </w:r>
          </w:p>
        </w:tc>
        <w:tc>
          <w:tcPr>
            <w:tcW w:w="3978" w:type="dxa"/>
            <w:gridSpan w:val="2"/>
            <w:vMerge w:val="continue"/>
            <w:tcBorders>
              <w:left w:val="nil"/>
              <w:right w:val="single" w:color="000000" w:sz="6" w:space="0"/>
            </w:tcBorders>
            <w:vAlign w:val="center"/>
          </w:tcPr>
          <w:p w14:paraId="610BF1EE">
            <w:pPr>
              <w:widowControl/>
              <w:jc w:val="left"/>
              <w:rPr>
                <w:rFonts w:ascii="微软雅黑" w:hAnsi="微软雅黑" w:eastAsia="微软雅黑" w:cs="宋体"/>
                <w:kern w:val="0"/>
                <w:szCs w:val="21"/>
              </w:rPr>
            </w:pPr>
          </w:p>
        </w:tc>
      </w:tr>
      <w:tr w14:paraId="37053A77">
        <w:tblPrEx>
          <w:tblCellMar>
            <w:top w:w="0" w:type="dxa"/>
            <w:left w:w="0" w:type="dxa"/>
            <w:bottom w:w="0" w:type="dxa"/>
            <w:right w:w="0" w:type="dxa"/>
          </w:tblCellMar>
        </w:tblPrEx>
        <w:trPr>
          <w:trHeight w:val="23" w:hRule="atLeast"/>
          <w:tblCellSpacing w:w="0" w:type="dxa"/>
          <w:jc w:val="center"/>
        </w:trPr>
        <w:tc>
          <w:tcPr>
            <w:tcW w:w="43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E92516C">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酶标分析仪检定规程</w:t>
            </w:r>
          </w:p>
        </w:tc>
        <w:tc>
          <w:tcPr>
            <w:tcW w:w="211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E560F07">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JJG 861-2007</w:t>
            </w:r>
          </w:p>
        </w:tc>
        <w:tc>
          <w:tcPr>
            <w:tcW w:w="3978" w:type="dxa"/>
            <w:gridSpan w:val="2"/>
            <w:vMerge w:val="continue"/>
            <w:tcBorders>
              <w:left w:val="nil"/>
              <w:right w:val="single" w:color="000000" w:sz="6" w:space="0"/>
            </w:tcBorders>
            <w:vAlign w:val="center"/>
          </w:tcPr>
          <w:p w14:paraId="2D94A86E">
            <w:pPr>
              <w:widowControl/>
              <w:jc w:val="left"/>
              <w:rPr>
                <w:rFonts w:ascii="微软雅黑" w:hAnsi="微软雅黑" w:eastAsia="微软雅黑" w:cs="宋体"/>
                <w:kern w:val="0"/>
                <w:szCs w:val="21"/>
              </w:rPr>
            </w:pPr>
          </w:p>
        </w:tc>
      </w:tr>
      <w:tr w14:paraId="02435E20">
        <w:tblPrEx>
          <w:tblCellMar>
            <w:top w:w="0" w:type="dxa"/>
            <w:left w:w="0" w:type="dxa"/>
            <w:bottom w:w="0" w:type="dxa"/>
            <w:right w:w="0" w:type="dxa"/>
          </w:tblCellMar>
        </w:tblPrEx>
        <w:trPr>
          <w:trHeight w:val="23" w:hRule="atLeast"/>
          <w:tblCellSpacing w:w="0" w:type="dxa"/>
          <w:jc w:val="center"/>
        </w:trPr>
        <w:tc>
          <w:tcPr>
            <w:tcW w:w="43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0DB6E06">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心电图机检定规程</w:t>
            </w:r>
          </w:p>
        </w:tc>
        <w:tc>
          <w:tcPr>
            <w:tcW w:w="211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A876777">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JJG 543-2008</w:t>
            </w:r>
          </w:p>
        </w:tc>
        <w:tc>
          <w:tcPr>
            <w:tcW w:w="3978" w:type="dxa"/>
            <w:gridSpan w:val="2"/>
            <w:vMerge w:val="continue"/>
            <w:tcBorders>
              <w:left w:val="nil"/>
              <w:right w:val="single" w:color="000000" w:sz="6" w:space="0"/>
            </w:tcBorders>
            <w:vAlign w:val="center"/>
          </w:tcPr>
          <w:p w14:paraId="5AC939E0">
            <w:pPr>
              <w:widowControl/>
              <w:jc w:val="left"/>
              <w:rPr>
                <w:rFonts w:ascii="微软雅黑" w:hAnsi="微软雅黑" w:eastAsia="微软雅黑" w:cs="宋体"/>
                <w:kern w:val="0"/>
                <w:szCs w:val="21"/>
              </w:rPr>
            </w:pPr>
          </w:p>
        </w:tc>
      </w:tr>
      <w:tr w14:paraId="75425648">
        <w:tblPrEx>
          <w:tblCellMar>
            <w:top w:w="0" w:type="dxa"/>
            <w:left w:w="0" w:type="dxa"/>
            <w:bottom w:w="0" w:type="dxa"/>
            <w:right w:w="0" w:type="dxa"/>
          </w:tblCellMar>
        </w:tblPrEx>
        <w:trPr>
          <w:trHeight w:val="23" w:hRule="atLeast"/>
          <w:tblCellSpacing w:w="0" w:type="dxa"/>
          <w:jc w:val="center"/>
        </w:trPr>
        <w:tc>
          <w:tcPr>
            <w:tcW w:w="43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C3223AC">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数字心电图机检定规程</w:t>
            </w:r>
          </w:p>
        </w:tc>
        <w:tc>
          <w:tcPr>
            <w:tcW w:w="211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DCFD4C0">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JJG 1041-2008</w:t>
            </w:r>
          </w:p>
        </w:tc>
        <w:tc>
          <w:tcPr>
            <w:tcW w:w="3978" w:type="dxa"/>
            <w:gridSpan w:val="2"/>
            <w:vMerge w:val="continue"/>
            <w:tcBorders>
              <w:left w:val="nil"/>
              <w:right w:val="single" w:color="000000" w:sz="6" w:space="0"/>
            </w:tcBorders>
            <w:vAlign w:val="center"/>
          </w:tcPr>
          <w:p w14:paraId="1776960C">
            <w:pPr>
              <w:widowControl/>
              <w:jc w:val="left"/>
              <w:rPr>
                <w:rFonts w:ascii="微软雅黑" w:hAnsi="微软雅黑" w:eastAsia="微软雅黑" w:cs="宋体"/>
                <w:kern w:val="0"/>
                <w:szCs w:val="21"/>
              </w:rPr>
            </w:pPr>
          </w:p>
        </w:tc>
      </w:tr>
      <w:tr w14:paraId="2A6DEB09">
        <w:tblPrEx>
          <w:tblCellMar>
            <w:top w:w="0" w:type="dxa"/>
            <w:left w:w="0" w:type="dxa"/>
            <w:bottom w:w="0" w:type="dxa"/>
            <w:right w:w="0" w:type="dxa"/>
          </w:tblCellMar>
        </w:tblPrEx>
        <w:trPr>
          <w:trHeight w:val="23" w:hRule="atLeast"/>
          <w:tblCellSpacing w:w="0" w:type="dxa"/>
          <w:jc w:val="center"/>
        </w:trPr>
        <w:tc>
          <w:tcPr>
            <w:tcW w:w="43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3305F2E">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医用激光源检定规程</w:t>
            </w:r>
          </w:p>
        </w:tc>
        <w:tc>
          <w:tcPr>
            <w:tcW w:w="211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C9F233D">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JJG 581-2016</w:t>
            </w:r>
          </w:p>
        </w:tc>
        <w:tc>
          <w:tcPr>
            <w:tcW w:w="3978" w:type="dxa"/>
            <w:gridSpan w:val="2"/>
            <w:vMerge w:val="continue"/>
            <w:tcBorders>
              <w:left w:val="nil"/>
              <w:right w:val="single" w:color="000000" w:sz="6" w:space="0"/>
            </w:tcBorders>
            <w:vAlign w:val="center"/>
          </w:tcPr>
          <w:p w14:paraId="554BB32D">
            <w:pPr>
              <w:widowControl/>
              <w:jc w:val="left"/>
              <w:rPr>
                <w:rFonts w:ascii="微软雅黑" w:hAnsi="微软雅黑" w:eastAsia="微软雅黑" w:cs="宋体"/>
                <w:kern w:val="0"/>
                <w:szCs w:val="21"/>
              </w:rPr>
            </w:pPr>
          </w:p>
        </w:tc>
      </w:tr>
      <w:tr w14:paraId="550D614E">
        <w:tblPrEx>
          <w:tblCellMar>
            <w:top w:w="0" w:type="dxa"/>
            <w:left w:w="0" w:type="dxa"/>
            <w:bottom w:w="0" w:type="dxa"/>
            <w:right w:w="0" w:type="dxa"/>
          </w:tblCellMar>
        </w:tblPrEx>
        <w:trPr>
          <w:trHeight w:val="23" w:hRule="atLeast"/>
          <w:tblCellSpacing w:w="0" w:type="dxa"/>
          <w:jc w:val="center"/>
        </w:trPr>
        <w:tc>
          <w:tcPr>
            <w:tcW w:w="43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27C8F27">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低频信号发生器检定规程</w:t>
            </w:r>
          </w:p>
        </w:tc>
        <w:tc>
          <w:tcPr>
            <w:tcW w:w="211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E353331">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JJG 602-2014</w:t>
            </w:r>
          </w:p>
        </w:tc>
        <w:tc>
          <w:tcPr>
            <w:tcW w:w="3978" w:type="dxa"/>
            <w:gridSpan w:val="2"/>
            <w:vMerge w:val="continue"/>
            <w:tcBorders>
              <w:left w:val="nil"/>
              <w:right w:val="single" w:color="000000" w:sz="6" w:space="0"/>
            </w:tcBorders>
            <w:vAlign w:val="center"/>
          </w:tcPr>
          <w:p w14:paraId="09F777DD">
            <w:pPr>
              <w:widowControl/>
              <w:jc w:val="left"/>
              <w:rPr>
                <w:rFonts w:ascii="微软雅黑" w:hAnsi="微软雅黑" w:eastAsia="微软雅黑" w:cs="宋体"/>
                <w:kern w:val="0"/>
                <w:szCs w:val="21"/>
              </w:rPr>
            </w:pPr>
          </w:p>
        </w:tc>
      </w:tr>
      <w:tr w14:paraId="5F6BCF81">
        <w:tblPrEx>
          <w:tblCellMar>
            <w:top w:w="0" w:type="dxa"/>
            <w:left w:w="0" w:type="dxa"/>
            <w:bottom w:w="0" w:type="dxa"/>
            <w:right w:w="0" w:type="dxa"/>
          </w:tblCellMar>
        </w:tblPrEx>
        <w:trPr>
          <w:trHeight w:val="23" w:hRule="atLeast"/>
          <w:tblCellSpacing w:w="0" w:type="dxa"/>
          <w:jc w:val="center"/>
        </w:trPr>
        <w:tc>
          <w:tcPr>
            <w:tcW w:w="43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F88A9F5">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color w:val="auto"/>
                <w:kern w:val="0"/>
                <w:szCs w:val="21"/>
              </w:rPr>
              <w:t>差压式流量计</w:t>
            </w:r>
          </w:p>
        </w:tc>
        <w:tc>
          <w:tcPr>
            <w:tcW w:w="211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BC836E4">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rPr>
              <w:t>JJG</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640-2016</w:t>
            </w:r>
          </w:p>
        </w:tc>
        <w:tc>
          <w:tcPr>
            <w:tcW w:w="3978" w:type="dxa"/>
            <w:gridSpan w:val="2"/>
            <w:vMerge w:val="continue"/>
            <w:tcBorders>
              <w:left w:val="nil"/>
              <w:right w:val="single" w:color="000000" w:sz="6" w:space="0"/>
            </w:tcBorders>
            <w:vAlign w:val="center"/>
          </w:tcPr>
          <w:p w14:paraId="53E71589">
            <w:pPr>
              <w:widowControl/>
              <w:jc w:val="left"/>
              <w:rPr>
                <w:rFonts w:ascii="微软雅黑" w:hAnsi="微软雅黑" w:eastAsia="微软雅黑" w:cs="宋体"/>
                <w:kern w:val="0"/>
                <w:szCs w:val="21"/>
              </w:rPr>
            </w:pPr>
          </w:p>
        </w:tc>
      </w:tr>
      <w:tr w14:paraId="394D1D9A">
        <w:tblPrEx>
          <w:tblCellMar>
            <w:top w:w="0" w:type="dxa"/>
            <w:left w:w="0" w:type="dxa"/>
            <w:bottom w:w="0" w:type="dxa"/>
            <w:right w:w="0" w:type="dxa"/>
          </w:tblCellMar>
        </w:tblPrEx>
        <w:trPr>
          <w:trHeight w:val="453" w:hRule="atLeast"/>
          <w:tblCellSpacing w:w="0" w:type="dxa"/>
          <w:jc w:val="center"/>
        </w:trPr>
        <w:tc>
          <w:tcPr>
            <w:tcW w:w="431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04FC544">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Cs w:val="21"/>
              </w:rPr>
              <w:t>污染源自动监控设备及部分化学分析仪器</w:t>
            </w:r>
          </w:p>
        </w:tc>
        <w:tc>
          <w:tcPr>
            <w:tcW w:w="211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C439CDE">
            <w:pPr>
              <w:widowControl/>
              <w:spacing w:before="100" w:beforeAutospacing="1" w:after="100" w:afterAutospacing="1"/>
              <w:jc w:val="center"/>
              <w:rPr>
                <w:rFonts w:ascii="微软雅黑" w:hAnsi="微软雅黑" w:eastAsia="微软雅黑" w:cs="宋体"/>
                <w:kern w:val="0"/>
                <w:szCs w:val="21"/>
              </w:rPr>
            </w:pPr>
            <w:r>
              <w:rPr>
                <w:rFonts w:hint="eastAsia" w:ascii="宋体" w:hAnsi="宋体" w:eastAsia="宋体" w:cs="宋体"/>
                <w:kern w:val="0"/>
                <w:sz w:val="18"/>
                <w:szCs w:val="18"/>
              </w:rPr>
              <w:t>（具体规程/规范号另行公布）</w:t>
            </w:r>
          </w:p>
        </w:tc>
        <w:tc>
          <w:tcPr>
            <w:tcW w:w="3978" w:type="dxa"/>
            <w:gridSpan w:val="2"/>
            <w:vMerge w:val="continue"/>
            <w:tcBorders>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72AB59F">
            <w:pPr>
              <w:widowControl/>
              <w:spacing w:before="100" w:beforeAutospacing="1" w:after="100" w:afterAutospacing="1"/>
              <w:jc w:val="left"/>
              <w:rPr>
                <w:rFonts w:ascii="微软雅黑" w:hAnsi="微软雅黑" w:eastAsia="微软雅黑" w:cs="宋体"/>
                <w:kern w:val="0"/>
                <w:szCs w:val="21"/>
              </w:rPr>
            </w:pPr>
          </w:p>
        </w:tc>
      </w:tr>
    </w:tbl>
    <w:p w14:paraId="0D66288C">
      <w:pPr>
        <w:widowControl/>
        <w:spacing w:before="0" w:beforeAutospacing="0" w:after="0" w:afterAutospacing="0"/>
        <w:ind w:left="147"/>
        <w:jc w:val="left"/>
        <w:rPr>
          <w:rFonts w:hint="eastAsia" w:ascii="宋体" w:hAnsi="宋体" w:eastAsia="宋体" w:cs="宋体"/>
          <w:kern w:val="0"/>
          <w:sz w:val="24"/>
          <w:szCs w:val="24"/>
          <w:lang w:val="en-US" w:eastAsia="zh-CN" w:bidi="ar-SA"/>
        </w:rPr>
      </w:pPr>
    </w:p>
    <w:p w14:paraId="0236A92F">
      <w:pPr>
        <w:widowControl/>
        <w:spacing w:before="0" w:beforeAutospacing="0" w:after="0" w:afterAutospacing="0"/>
        <w:ind w:left="147"/>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注：以上特殊专业操作技能考试计划仅适用于省质科院承担的考试项目。</w:t>
      </w:r>
    </w:p>
    <w:p w14:paraId="592B0E8E"/>
    <w:p w14:paraId="3D7AB72D">
      <w:pPr>
        <w:widowControl w:val="0"/>
        <w:spacing w:line="360" w:lineRule="auto"/>
        <w:jc w:val="both"/>
        <w:rPr>
          <w:rFonts w:ascii="仿宋_GB2312" w:hAnsi="Calibri" w:eastAsia="仿宋_GB2312" w:cs="Times New Roman"/>
          <w:kern w:val="2"/>
          <w:sz w:val="32"/>
          <w:szCs w:val="32"/>
          <w:lang w:val="en-US" w:eastAsia="zh-CN" w:bidi="ar-SA"/>
        </w:rPr>
      </w:pPr>
    </w:p>
    <w:p w14:paraId="3CA43D2A">
      <w:pPr>
        <w:rPr>
          <w:rFonts w:ascii="Calibri" w:hAnsi="Calibri" w:eastAsia="宋体" w:cs="Times New Roman"/>
        </w:rPr>
      </w:pPr>
    </w:p>
    <w:p w14:paraId="4EB7D0D0">
      <w:pPr>
        <w:rPr>
          <w:rFonts w:hint="eastAsia" w:asciiTheme="minorEastAsia" w:hAnsiTheme="minorEastAsia" w:cstheme="minorEastAsia"/>
          <w:b/>
          <w:bCs/>
          <w:kern w:val="0"/>
          <w:sz w:val="40"/>
          <w:szCs w:val="40"/>
        </w:rPr>
      </w:pPr>
      <w:r>
        <w:rPr>
          <w:rFonts w:hint="eastAsia" w:asciiTheme="minorEastAsia" w:hAnsiTheme="minorEastAsia" w:cstheme="minorEastAsia"/>
          <w:b/>
          <w:bCs/>
          <w:kern w:val="0"/>
          <w:sz w:val="40"/>
          <w:szCs w:val="40"/>
        </w:rPr>
        <w:br w:type="page"/>
      </w:r>
    </w:p>
    <w:p w14:paraId="75A427F4">
      <w:pPr>
        <w:keepNext w:val="0"/>
        <w:keepLines w:val="0"/>
        <w:pageBreakBefore w:val="0"/>
        <w:widowControl/>
        <w:shd w:val="clear" w:color="auto" w:fill="FFFFFF"/>
        <w:kinsoku/>
        <w:wordWrap/>
        <w:overflowPunct/>
        <w:topLinePunct w:val="0"/>
        <w:autoSpaceDE/>
        <w:autoSpaceDN/>
        <w:bidi w:val="0"/>
        <w:adjustRightInd/>
        <w:snapToGrid/>
        <w:spacing w:before="147" w:beforeLines="50" w:beforeAutospacing="0" w:after="147" w:afterLines="50" w:afterAutospacing="0" w:line="594" w:lineRule="exact"/>
        <w:ind w:left="0" w:right="0" w:hanging="1680" w:hangingChars="400"/>
        <w:jc w:val="left"/>
        <w:textAlignment w:val="auto"/>
        <w:outlineLvl w:val="9"/>
        <w:rPr>
          <w:rFonts w:hint="eastAsia" w:ascii="Times New Roman" w:hAnsi="Times New Roman" w:eastAsia="方正小标宋简体" w:cs="Times New Roman"/>
          <w:b w:val="0"/>
          <w:bCs/>
          <w:color w:val="auto"/>
          <w:spacing w:val="10"/>
          <w:kern w:val="0"/>
          <w:sz w:val="40"/>
          <w:szCs w:val="40"/>
          <w:highlight w:val="none"/>
          <w:lang w:val="en-US" w:eastAsia="zh-CN" w:bidi="ar"/>
        </w:rPr>
      </w:pPr>
      <w:r>
        <w:rPr>
          <w:rFonts w:hint="eastAsia" w:ascii="Times New Roman" w:hAnsi="Times New Roman" w:eastAsia="方正小标宋简体" w:cs="Times New Roman"/>
          <w:b w:val="0"/>
          <w:bCs/>
          <w:color w:val="auto"/>
          <w:spacing w:val="10"/>
          <w:kern w:val="0"/>
          <w:sz w:val="40"/>
          <w:szCs w:val="40"/>
          <w:highlight w:val="none"/>
          <w:lang w:val="en-US" w:eastAsia="zh-CN" w:bidi="ar"/>
        </w:rPr>
        <w:t>附件二</w:t>
      </w:r>
    </w:p>
    <w:p w14:paraId="7788222A">
      <w:pPr>
        <w:keepNext w:val="0"/>
        <w:keepLines w:val="0"/>
        <w:pageBreakBefore w:val="0"/>
        <w:widowControl/>
        <w:shd w:val="clear" w:color="auto" w:fill="FFFFFF"/>
        <w:kinsoku/>
        <w:wordWrap/>
        <w:overflowPunct/>
        <w:topLinePunct w:val="0"/>
        <w:autoSpaceDE/>
        <w:autoSpaceDN/>
        <w:bidi w:val="0"/>
        <w:adjustRightInd/>
        <w:snapToGrid/>
        <w:spacing w:before="147" w:beforeLines="50" w:beforeAutospacing="0" w:after="147" w:afterLines="50" w:afterAutospacing="0" w:line="594" w:lineRule="exact"/>
        <w:ind w:left="0" w:right="0" w:hanging="1680" w:hangingChars="400"/>
        <w:jc w:val="center"/>
        <w:textAlignment w:val="auto"/>
        <w:outlineLvl w:val="9"/>
        <w:rPr>
          <w:rFonts w:hint="default" w:ascii="Times New Roman" w:hAnsi="Times New Roman" w:eastAsia="方正小标宋简体" w:cs="Times New Roman"/>
          <w:b w:val="0"/>
          <w:bCs/>
          <w:color w:val="auto"/>
          <w:kern w:val="0"/>
          <w:sz w:val="32"/>
          <w:szCs w:val="32"/>
          <w:highlight w:val="none"/>
          <w:lang w:val="en-US" w:eastAsia="zh-CN" w:bidi="ar"/>
        </w:rPr>
      </w:pPr>
      <w:r>
        <w:rPr>
          <w:rFonts w:hint="default" w:ascii="Times New Roman" w:hAnsi="Times New Roman" w:eastAsia="方正小标宋简体" w:cs="Times New Roman"/>
          <w:b w:val="0"/>
          <w:bCs/>
          <w:color w:val="auto"/>
          <w:spacing w:val="10"/>
          <w:kern w:val="0"/>
          <w:sz w:val="40"/>
          <w:szCs w:val="40"/>
          <w:highlight w:val="none"/>
          <w:lang w:val="en-US" w:eastAsia="zh-CN" w:bidi="ar"/>
        </w:rPr>
        <w:t>计量专业项目考核申请表</w:t>
      </w:r>
    </w:p>
    <w:tbl>
      <w:tblPr>
        <w:tblStyle w:val="1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182"/>
        <w:gridCol w:w="1199"/>
        <w:gridCol w:w="5"/>
        <w:gridCol w:w="1230"/>
        <w:gridCol w:w="1465"/>
        <w:gridCol w:w="2955"/>
      </w:tblGrid>
      <w:tr w14:paraId="1DFB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9" w:type="dxa"/>
            <w:vAlign w:val="center"/>
          </w:tcPr>
          <w:p w14:paraId="55453C5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姓名</w:t>
            </w:r>
          </w:p>
        </w:tc>
        <w:tc>
          <w:tcPr>
            <w:tcW w:w="1182" w:type="dxa"/>
            <w:vAlign w:val="center"/>
          </w:tcPr>
          <w:p w14:paraId="07DACB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c>
          <w:tcPr>
            <w:tcW w:w="1199" w:type="dxa"/>
            <w:vAlign w:val="center"/>
          </w:tcPr>
          <w:p w14:paraId="1992A56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职称</w:t>
            </w:r>
          </w:p>
        </w:tc>
        <w:tc>
          <w:tcPr>
            <w:tcW w:w="1235" w:type="dxa"/>
            <w:gridSpan w:val="2"/>
            <w:vAlign w:val="center"/>
          </w:tcPr>
          <w:p w14:paraId="7271DA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lang w:eastAsia="zh-CN"/>
              </w:rPr>
            </w:pPr>
          </w:p>
        </w:tc>
        <w:tc>
          <w:tcPr>
            <w:tcW w:w="1465" w:type="dxa"/>
            <w:vAlign w:val="center"/>
          </w:tcPr>
          <w:p w14:paraId="7CC81A8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bCs/>
                <w:color w:val="auto"/>
                <w:kern w:val="0"/>
                <w:sz w:val="24"/>
                <w:szCs w:val="24"/>
                <w:highlight w:val="none"/>
                <w:lang w:eastAsia="zh-CN"/>
              </w:rPr>
              <w:t>身份证号</w:t>
            </w:r>
          </w:p>
        </w:tc>
        <w:tc>
          <w:tcPr>
            <w:tcW w:w="2955" w:type="dxa"/>
            <w:vAlign w:val="center"/>
          </w:tcPr>
          <w:p w14:paraId="3A8BC3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r>
      <w:tr w14:paraId="4616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9" w:type="dxa"/>
            <w:vAlign w:val="center"/>
          </w:tcPr>
          <w:p w14:paraId="0C557CA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学历</w:t>
            </w:r>
          </w:p>
        </w:tc>
        <w:tc>
          <w:tcPr>
            <w:tcW w:w="1182" w:type="dxa"/>
            <w:vAlign w:val="center"/>
          </w:tcPr>
          <w:p w14:paraId="100DF4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c>
          <w:tcPr>
            <w:tcW w:w="1204" w:type="dxa"/>
            <w:gridSpan w:val="2"/>
            <w:vAlign w:val="center"/>
          </w:tcPr>
          <w:p w14:paraId="0806258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bCs/>
                <w:color w:val="auto"/>
                <w:kern w:val="0"/>
                <w:sz w:val="24"/>
                <w:szCs w:val="24"/>
                <w:highlight w:val="none"/>
              </w:rPr>
              <w:t>联系</w:t>
            </w:r>
            <w:r>
              <w:rPr>
                <w:rFonts w:hint="eastAsia" w:ascii="仿宋_GB2312" w:hAnsi="仿宋_GB2312" w:eastAsia="仿宋_GB2312" w:cs="仿宋_GB2312"/>
                <w:bCs/>
                <w:color w:val="auto"/>
                <w:kern w:val="0"/>
                <w:sz w:val="24"/>
                <w:szCs w:val="24"/>
                <w:highlight w:val="none"/>
                <w:lang w:eastAsia="zh-CN"/>
              </w:rPr>
              <w:t>电话</w:t>
            </w:r>
          </w:p>
        </w:tc>
        <w:tc>
          <w:tcPr>
            <w:tcW w:w="1230" w:type="dxa"/>
            <w:vAlign w:val="center"/>
          </w:tcPr>
          <w:p w14:paraId="4FB398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lang w:eastAsia="zh-CN"/>
              </w:rPr>
            </w:pPr>
          </w:p>
        </w:tc>
        <w:tc>
          <w:tcPr>
            <w:tcW w:w="1465" w:type="dxa"/>
            <w:vAlign w:val="center"/>
          </w:tcPr>
          <w:p w14:paraId="13CA3C0D">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bCs/>
                <w:color w:val="auto"/>
                <w:kern w:val="0"/>
                <w:sz w:val="24"/>
                <w:szCs w:val="24"/>
                <w:highlight w:val="none"/>
                <w:lang w:eastAsia="zh-CN"/>
              </w:rPr>
              <w:t>执业</w:t>
            </w:r>
            <w:r>
              <w:rPr>
                <w:rFonts w:hint="eastAsia" w:ascii="仿宋_GB2312" w:hAnsi="仿宋_GB2312" w:eastAsia="仿宋_GB2312" w:cs="仿宋_GB2312"/>
                <w:bCs/>
                <w:color w:val="auto"/>
                <w:kern w:val="0"/>
                <w:sz w:val="24"/>
                <w:szCs w:val="24"/>
                <w:highlight w:val="none"/>
              </w:rPr>
              <w:t>单位</w:t>
            </w:r>
          </w:p>
        </w:tc>
        <w:tc>
          <w:tcPr>
            <w:tcW w:w="2955" w:type="dxa"/>
            <w:vAlign w:val="center"/>
          </w:tcPr>
          <w:p w14:paraId="44048B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lang w:eastAsia="zh-CN"/>
              </w:rPr>
            </w:pPr>
          </w:p>
        </w:tc>
      </w:tr>
      <w:tr w14:paraId="6889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1" w:type="dxa"/>
            <w:gridSpan w:val="2"/>
            <w:vAlign w:val="center"/>
          </w:tcPr>
          <w:p w14:paraId="0C50C2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执业</w:t>
            </w:r>
            <w:r>
              <w:rPr>
                <w:rFonts w:hint="eastAsia" w:ascii="仿宋_GB2312" w:hAnsi="仿宋_GB2312" w:eastAsia="仿宋_GB2312" w:cs="仿宋_GB2312"/>
                <w:bCs/>
                <w:color w:val="auto"/>
                <w:kern w:val="0"/>
                <w:sz w:val="24"/>
                <w:szCs w:val="24"/>
                <w:highlight w:val="none"/>
              </w:rPr>
              <w:t>单位地址</w:t>
            </w:r>
            <w:r>
              <w:rPr>
                <w:rFonts w:hint="eastAsia" w:ascii="仿宋_GB2312" w:hAnsi="仿宋_GB2312" w:eastAsia="仿宋_GB2312" w:cs="仿宋_GB2312"/>
                <w:bCs/>
                <w:color w:val="auto"/>
                <w:kern w:val="0"/>
                <w:sz w:val="24"/>
                <w:szCs w:val="24"/>
                <w:highlight w:val="none"/>
                <w:lang w:eastAsia="zh-CN"/>
              </w:rPr>
              <w:t>及邮编</w:t>
            </w:r>
          </w:p>
        </w:tc>
        <w:tc>
          <w:tcPr>
            <w:tcW w:w="6854" w:type="dxa"/>
            <w:gridSpan w:val="5"/>
            <w:vAlign w:val="center"/>
          </w:tcPr>
          <w:p w14:paraId="094AAC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r>
      <w:tr w14:paraId="50B4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9" w:type="dxa"/>
            <w:vAlign w:val="center"/>
          </w:tcPr>
          <w:p w14:paraId="008D10B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Cs/>
                <w:color w:val="auto"/>
                <w:spacing w:val="-23"/>
                <w:kern w:val="0"/>
                <w:sz w:val="24"/>
                <w:szCs w:val="24"/>
                <w:highlight w:val="none"/>
              </w:rPr>
            </w:pPr>
            <w:r>
              <w:rPr>
                <w:rFonts w:hint="eastAsia" w:ascii="仿宋_GB2312" w:hAnsi="仿宋_GB2312" w:eastAsia="仿宋_GB2312" w:cs="仿宋_GB2312"/>
                <w:bCs/>
                <w:color w:val="auto"/>
                <w:spacing w:val="-23"/>
                <w:kern w:val="0"/>
                <w:sz w:val="24"/>
                <w:szCs w:val="24"/>
                <w:highlight w:val="none"/>
                <w:lang w:val="en-US" w:eastAsia="zh-CN"/>
              </w:rPr>
              <w:t>计量</w:t>
            </w:r>
            <w:r>
              <w:rPr>
                <w:rFonts w:hint="eastAsia" w:ascii="仿宋_GB2312" w:hAnsi="仿宋_GB2312" w:eastAsia="仿宋_GB2312" w:cs="仿宋_GB2312"/>
                <w:bCs/>
                <w:color w:val="auto"/>
                <w:spacing w:val="-23"/>
                <w:kern w:val="0"/>
                <w:sz w:val="24"/>
                <w:szCs w:val="24"/>
                <w:highlight w:val="none"/>
                <w:lang w:eastAsia="zh-CN"/>
              </w:rPr>
              <w:t>专业类别</w:t>
            </w:r>
          </w:p>
        </w:tc>
        <w:tc>
          <w:tcPr>
            <w:tcW w:w="1182" w:type="dxa"/>
            <w:vAlign w:val="center"/>
          </w:tcPr>
          <w:p w14:paraId="52E4FE1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项目</w:t>
            </w:r>
          </w:p>
        </w:tc>
        <w:tc>
          <w:tcPr>
            <w:tcW w:w="1199" w:type="dxa"/>
            <w:vAlign w:val="center"/>
          </w:tcPr>
          <w:p w14:paraId="32DE535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子项目</w:t>
            </w:r>
          </w:p>
        </w:tc>
        <w:tc>
          <w:tcPr>
            <w:tcW w:w="5655" w:type="dxa"/>
            <w:gridSpan w:val="4"/>
            <w:vAlign w:val="center"/>
          </w:tcPr>
          <w:p w14:paraId="28D873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color w:val="auto"/>
                <w:sz w:val="24"/>
                <w:szCs w:val="24"/>
                <w:highlight w:val="none"/>
                <w:lang w:eastAsia="zh-CN"/>
              </w:rPr>
              <w:t>计量技术</w:t>
            </w:r>
            <w:r>
              <w:rPr>
                <w:rFonts w:hint="eastAsia" w:ascii="仿宋_GB2312" w:hAnsi="仿宋_GB2312" w:eastAsia="仿宋_GB2312" w:cs="仿宋_GB2312"/>
                <w:color w:val="auto"/>
                <w:sz w:val="24"/>
                <w:szCs w:val="24"/>
                <w:highlight w:val="none"/>
              </w:rPr>
              <w:t>规范名称</w:t>
            </w:r>
            <w:r>
              <w:rPr>
                <w:rFonts w:hint="eastAsia" w:ascii="仿宋_GB2312" w:hAnsi="仿宋_GB2312" w:eastAsia="仿宋_GB2312" w:cs="仿宋_GB2312"/>
                <w:color w:val="auto"/>
                <w:sz w:val="24"/>
                <w:szCs w:val="24"/>
                <w:highlight w:val="none"/>
                <w:lang w:eastAsia="zh-CN"/>
              </w:rPr>
              <w:t>及编号</w:t>
            </w:r>
          </w:p>
        </w:tc>
      </w:tr>
      <w:tr w14:paraId="3E1E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9" w:type="dxa"/>
            <w:vAlign w:val="center"/>
          </w:tcPr>
          <w:p w14:paraId="0BE1F9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pacing w:val="-23"/>
                <w:kern w:val="0"/>
                <w:sz w:val="24"/>
                <w:szCs w:val="24"/>
                <w:highlight w:val="none"/>
              </w:rPr>
            </w:pPr>
          </w:p>
        </w:tc>
        <w:tc>
          <w:tcPr>
            <w:tcW w:w="1182" w:type="dxa"/>
            <w:vAlign w:val="center"/>
          </w:tcPr>
          <w:p w14:paraId="7D63E7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c>
          <w:tcPr>
            <w:tcW w:w="1199" w:type="dxa"/>
            <w:vAlign w:val="center"/>
          </w:tcPr>
          <w:p w14:paraId="6F9B30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Pr>
            </w:pPr>
          </w:p>
        </w:tc>
        <w:tc>
          <w:tcPr>
            <w:tcW w:w="5655" w:type="dxa"/>
            <w:gridSpan w:val="4"/>
            <w:vAlign w:val="center"/>
          </w:tcPr>
          <w:p w14:paraId="48BA14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r>
      <w:tr w14:paraId="5980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9" w:type="dxa"/>
            <w:vAlign w:val="center"/>
          </w:tcPr>
          <w:p w14:paraId="6E978A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pacing w:val="-23"/>
                <w:kern w:val="0"/>
                <w:sz w:val="24"/>
                <w:szCs w:val="24"/>
                <w:highlight w:val="none"/>
              </w:rPr>
            </w:pPr>
          </w:p>
        </w:tc>
        <w:tc>
          <w:tcPr>
            <w:tcW w:w="1182" w:type="dxa"/>
            <w:vAlign w:val="center"/>
          </w:tcPr>
          <w:p w14:paraId="55D091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c>
          <w:tcPr>
            <w:tcW w:w="1199" w:type="dxa"/>
            <w:vAlign w:val="center"/>
          </w:tcPr>
          <w:p w14:paraId="01977B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Pr>
            </w:pPr>
          </w:p>
        </w:tc>
        <w:tc>
          <w:tcPr>
            <w:tcW w:w="5655" w:type="dxa"/>
            <w:gridSpan w:val="4"/>
            <w:vAlign w:val="center"/>
          </w:tcPr>
          <w:p w14:paraId="66A0B2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r>
      <w:tr w14:paraId="369B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9" w:type="dxa"/>
            <w:vAlign w:val="center"/>
          </w:tcPr>
          <w:p w14:paraId="59EE36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pacing w:val="-23"/>
                <w:kern w:val="0"/>
                <w:sz w:val="24"/>
                <w:szCs w:val="24"/>
                <w:highlight w:val="none"/>
              </w:rPr>
            </w:pPr>
          </w:p>
        </w:tc>
        <w:tc>
          <w:tcPr>
            <w:tcW w:w="1182" w:type="dxa"/>
            <w:vAlign w:val="center"/>
          </w:tcPr>
          <w:p w14:paraId="310151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c>
          <w:tcPr>
            <w:tcW w:w="1199" w:type="dxa"/>
            <w:vAlign w:val="center"/>
          </w:tcPr>
          <w:p w14:paraId="505A49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Pr>
            </w:pPr>
          </w:p>
        </w:tc>
        <w:tc>
          <w:tcPr>
            <w:tcW w:w="5655" w:type="dxa"/>
            <w:gridSpan w:val="4"/>
            <w:vAlign w:val="center"/>
          </w:tcPr>
          <w:p w14:paraId="749488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r>
      <w:tr w14:paraId="6DE5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9" w:type="dxa"/>
            <w:vAlign w:val="center"/>
          </w:tcPr>
          <w:p w14:paraId="51D517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pacing w:val="-23"/>
                <w:kern w:val="0"/>
                <w:sz w:val="24"/>
                <w:szCs w:val="24"/>
                <w:highlight w:val="none"/>
              </w:rPr>
            </w:pPr>
          </w:p>
        </w:tc>
        <w:tc>
          <w:tcPr>
            <w:tcW w:w="1182" w:type="dxa"/>
            <w:vAlign w:val="center"/>
          </w:tcPr>
          <w:p w14:paraId="17281E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c>
          <w:tcPr>
            <w:tcW w:w="1199" w:type="dxa"/>
            <w:vAlign w:val="center"/>
          </w:tcPr>
          <w:p w14:paraId="143070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Pr>
            </w:pPr>
          </w:p>
        </w:tc>
        <w:tc>
          <w:tcPr>
            <w:tcW w:w="5655" w:type="dxa"/>
            <w:gridSpan w:val="4"/>
            <w:vAlign w:val="center"/>
          </w:tcPr>
          <w:p w14:paraId="4797AF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r>
      <w:tr w14:paraId="7880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9" w:type="dxa"/>
            <w:vAlign w:val="center"/>
          </w:tcPr>
          <w:p w14:paraId="1FC1DC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pacing w:val="-23"/>
                <w:kern w:val="0"/>
                <w:sz w:val="24"/>
                <w:szCs w:val="24"/>
                <w:highlight w:val="none"/>
              </w:rPr>
            </w:pPr>
          </w:p>
        </w:tc>
        <w:tc>
          <w:tcPr>
            <w:tcW w:w="1182" w:type="dxa"/>
            <w:vAlign w:val="center"/>
          </w:tcPr>
          <w:p w14:paraId="41F33E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c>
          <w:tcPr>
            <w:tcW w:w="1199" w:type="dxa"/>
            <w:vAlign w:val="center"/>
          </w:tcPr>
          <w:p w14:paraId="18DD12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rPr>
            </w:pPr>
          </w:p>
        </w:tc>
        <w:tc>
          <w:tcPr>
            <w:tcW w:w="5655" w:type="dxa"/>
            <w:gridSpan w:val="4"/>
            <w:vAlign w:val="center"/>
          </w:tcPr>
          <w:p w14:paraId="128A6B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r>
      <w:tr w14:paraId="51B9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9" w:type="dxa"/>
            <w:vAlign w:val="center"/>
          </w:tcPr>
          <w:p w14:paraId="7F239C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4"/>
                <w:szCs w:val="24"/>
                <w:highlight w:val="none"/>
              </w:rPr>
            </w:pPr>
          </w:p>
        </w:tc>
        <w:tc>
          <w:tcPr>
            <w:tcW w:w="1182" w:type="dxa"/>
            <w:vAlign w:val="center"/>
          </w:tcPr>
          <w:p w14:paraId="112E81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c>
          <w:tcPr>
            <w:tcW w:w="1199" w:type="dxa"/>
            <w:vAlign w:val="center"/>
          </w:tcPr>
          <w:p w14:paraId="57EC90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c>
          <w:tcPr>
            <w:tcW w:w="5655" w:type="dxa"/>
            <w:gridSpan w:val="4"/>
            <w:vAlign w:val="center"/>
          </w:tcPr>
          <w:p w14:paraId="2A3FED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auto"/>
                <w:kern w:val="0"/>
                <w:sz w:val="24"/>
                <w:szCs w:val="24"/>
                <w:highlight w:val="none"/>
              </w:rPr>
            </w:pPr>
          </w:p>
        </w:tc>
      </w:tr>
      <w:tr w14:paraId="62FD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9425" w:type="dxa"/>
            <w:gridSpan w:val="7"/>
            <w:vAlign w:val="top"/>
          </w:tcPr>
          <w:p w14:paraId="555D9D03">
            <w:pPr>
              <w:keepNext w:val="0"/>
              <w:keepLines w:val="0"/>
              <w:pageBreakBefore w:val="0"/>
              <w:widowControl/>
              <w:kinsoku/>
              <w:wordWrap/>
              <w:overflowPunct/>
              <w:topLinePunct w:val="0"/>
              <w:autoSpaceDE/>
              <w:autoSpaceDN/>
              <w:bidi w:val="0"/>
              <w:adjustRightInd/>
              <w:snapToGrid/>
              <w:spacing w:before="157" w:beforeLines="50" w:line="400" w:lineRule="exact"/>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申请人声明：</w:t>
            </w:r>
          </w:p>
          <w:p w14:paraId="3EC680E0">
            <w:pPr>
              <w:keepNext w:val="0"/>
              <w:keepLines w:val="0"/>
              <w:pageBreakBefore w:val="0"/>
              <w:widowControl w:val="0"/>
              <w:kinsoku/>
              <w:wordWrap/>
              <w:overflowPunct/>
              <w:topLinePunct w:val="0"/>
              <w:autoSpaceDE/>
              <w:autoSpaceDN/>
              <w:bidi w:val="0"/>
              <w:adjustRightInd/>
              <w:snapToGrid/>
              <w:spacing w:line="360" w:lineRule="exact"/>
              <w:ind w:firstLine="480"/>
              <w:jc w:val="both"/>
              <w:textAlignment w:val="auto"/>
              <w:rPr>
                <w:rFonts w:hint="default" w:ascii="仿宋_GB2312" w:hAnsi="仿宋_GB2312" w:eastAsia="仿宋_GB2312" w:cs="仿宋_GB2312"/>
                <w:bCs/>
                <w:color w:val="auto"/>
                <w:kern w:val="0"/>
                <w:sz w:val="24"/>
                <w:szCs w:val="24"/>
                <w:highlight w:val="none"/>
                <w:lang w:val="en-US" w:eastAsia="zh-CN"/>
              </w:rPr>
            </w:pPr>
            <w:r>
              <w:rPr>
                <w:rFonts w:hint="default" w:ascii="仿宋_GB2312" w:hAnsi="仿宋_GB2312" w:eastAsia="仿宋_GB2312" w:cs="仿宋_GB2312"/>
                <w:bCs/>
                <w:color w:val="auto"/>
                <w:kern w:val="0"/>
                <w:sz w:val="24"/>
                <w:szCs w:val="24"/>
                <w:highlight w:val="none"/>
                <w:lang w:val="en-US" w:eastAsia="zh-CN"/>
              </w:rPr>
              <w:t>本人</w:t>
            </w:r>
            <w:r>
              <w:rPr>
                <w:rFonts w:hint="default" w:ascii="仿宋_GB2312" w:hAnsi="仿宋_GB2312" w:eastAsia="仿宋_GB2312" w:cs="仿宋_GB2312"/>
                <w:bCs/>
                <w:color w:val="auto"/>
                <w:kern w:val="0"/>
                <w:sz w:val="24"/>
                <w:szCs w:val="24"/>
                <w:highlight w:val="none"/>
              </w:rPr>
              <w:t>保证</w:t>
            </w:r>
            <w:r>
              <w:rPr>
                <w:rFonts w:hint="default" w:ascii="仿宋_GB2312" w:hAnsi="仿宋_GB2312" w:eastAsia="仿宋_GB2312" w:cs="仿宋_GB2312"/>
                <w:bCs/>
                <w:color w:val="auto"/>
                <w:kern w:val="0"/>
                <w:sz w:val="24"/>
                <w:szCs w:val="24"/>
                <w:highlight w:val="none"/>
                <w:lang w:eastAsia="zh-CN"/>
              </w:rPr>
              <w:t>用于</w:t>
            </w:r>
            <w:r>
              <w:rPr>
                <w:rFonts w:hint="default" w:ascii="仿宋_GB2312" w:hAnsi="仿宋_GB2312" w:eastAsia="仿宋_GB2312" w:cs="仿宋_GB2312"/>
                <w:bCs/>
                <w:color w:val="auto"/>
                <w:kern w:val="0"/>
                <w:sz w:val="24"/>
                <w:szCs w:val="24"/>
                <w:highlight w:val="none"/>
              </w:rPr>
              <w:t>申请</w:t>
            </w:r>
            <w:r>
              <w:rPr>
                <w:rFonts w:hint="eastAsia" w:ascii="仿宋_GB2312" w:hAnsi="仿宋_GB2312" w:eastAsia="仿宋_GB2312" w:cs="仿宋_GB2312"/>
                <w:bCs/>
                <w:color w:val="auto"/>
                <w:kern w:val="0"/>
                <w:sz w:val="24"/>
                <w:szCs w:val="24"/>
                <w:highlight w:val="none"/>
                <w:lang w:eastAsia="zh-CN"/>
              </w:rPr>
              <w:t>计量专业项目考核</w:t>
            </w:r>
            <w:r>
              <w:rPr>
                <w:rFonts w:hint="default" w:ascii="仿宋_GB2312" w:hAnsi="仿宋_GB2312" w:eastAsia="仿宋_GB2312" w:cs="仿宋_GB2312"/>
                <w:bCs/>
                <w:color w:val="auto"/>
                <w:kern w:val="0"/>
                <w:sz w:val="24"/>
                <w:szCs w:val="24"/>
                <w:highlight w:val="none"/>
                <w:lang w:eastAsia="zh-CN"/>
              </w:rPr>
              <w:t>的</w:t>
            </w:r>
            <w:r>
              <w:rPr>
                <w:rFonts w:hint="eastAsia" w:ascii="仿宋_GB2312" w:hAnsi="仿宋_GB2312" w:eastAsia="仿宋_GB2312" w:cs="仿宋_GB2312"/>
                <w:bCs/>
                <w:color w:val="auto"/>
                <w:kern w:val="0"/>
                <w:sz w:val="24"/>
                <w:szCs w:val="24"/>
                <w:highlight w:val="none"/>
                <w:lang w:eastAsia="zh-CN"/>
              </w:rPr>
              <w:t>相关</w:t>
            </w:r>
            <w:r>
              <w:rPr>
                <w:rFonts w:hint="default" w:ascii="仿宋_GB2312" w:hAnsi="仿宋_GB2312" w:eastAsia="仿宋_GB2312" w:cs="仿宋_GB2312"/>
                <w:bCs/>
                <w:color w:val="auto"/>
                <w:kern w:val="0"/>
                <w:sz w:val="24"/>
                <w:szCs w:val="24"/>
                <w:highlight w:val="none"/>
              </w:rPr>
              <w:t>内容</w:t>
            </w:r>
            <w:r>
              <w:rPr>
                <w:rFonts w:hint="default" w:ascii="仿宋_GB2312" w:hAnsi="仿宋_GB2312" w:eastAsia="仿宋_GB2312" w:cs="仿宋_GB2312"/>
                <w:bCs/>
                <w:color w:val="auto"/>
                <w:kern w:val="0"/>
                <w:sz w:val="24"/>
                <w:szCs w:val="24"/>
                <w:highlight w:val="none"/>
                <w:lang w:eastAsia="zh-CN"/>
              </w:rPr>
              <w:t>真实可靠</w:t>
            </w:r>
            <w:r>
              <w:rPr>
                <w:rFonts w:hint="eastAsia" w:ascii="仿宋_GB2312" w:hAnsi="仿宋_GB2312" w:eastAsia="仿宋_GB2312" w:cs="仿宋_GB2312"/>
                <w:bCs/>
                <w:color w:val="auto"/>
                <w:kern w:val="0"/>
                <w:sz w:val="24"/>
                <w:szCs w:val="24"/>
                <w:highlight w:val="none"/>
                <w:lang w:eastAsia="zh-CN"/>
              </w:rPr>
              <w:t>，如有虚假，愿承担由此造成的法律后果</w:t>
            </w:r>
            <w:r>
              <w:rPr>
                <w:rFonts w:hint="default" w:ascii="仿宋_GB2312" w:hAnsi="仿宋_GB2312" w:eastAsia="仿宋_GB2312" w:cs="仿宋_GB2312"/>
                <w:bCs/>
                <w:color w:val="auto"/>
                <w:kern w:val="0"/>
                <w:sz w:val="24"/>
                <w:szCs w:val="24"/>
                <w:highlight w:val="none"/>
              </w:rPr>
              <w:t>。</w:t>
            </w:r>
          </w:p>
          <w:p w14:paraId="0654E79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auto"/>
                <w:kern w:val="0"/>
                <w:sz w:val="24"/>
                <w:szCs w:val="24"/>
                <w:highlight w:val="none"/>
              </w:rPr>
            </w:pPr>
          </w:p>
          <w:p w14:paraId="36EBC828">
            <w:pPr>
              <w:keepNext w:val="0"/>
              <w:keepLines w:val="0"/>
              <w:pageBreakBefore w:val="0"/>
              <w:widowControl/>
              <w:kinsoku/>
              <w:wordWrap/>
              <w:overflowPunct/>
              <w:topLinePunct w:val="0"/>
              <w:autoSpaceDE/>
              <w:autoSpaceDN/>
              <w:bidi w:val="0"/>
              <w:adjustRightInd/>
              <w:snapToGrid/>
              <w:spacing w:after="157" w:afterLines="50" w:line="400" w:lineRule="exact"/>
              <w:jc w:val="left"/>
              <w:textAlignment w:val="auto"/>
              <w:rPr>
                <w:rFonts w:hint="eastAsia" w:ascii="仿宋_GB2312" w:hAnsi="仿宋_GB2312" w:eastAsia="仿宋_GB2312" w:cs="仿宋_GB2312"/>
                <w:bCs/>
                <w:color w:val="auto"/>
                <w:kern w:val="0"/>
                <w:sz w:val="24"/>
                <w:szCs w:val="24"/>
                <w:highlight w:val="none"/>
              </w:rPr>
            </w:pPr>
          </w:p>
          <w:p w14:paraId="3DF637CE">
            <w:pPr>
              <w:keepNext w:val="0"/>
              <w:keepLines w:val="0"/>
              <w:pageBreakBefore w:val="0"/>
              <w:widowControl/>
              <w:kinsoku/>
              <w:wordWrap/>
              <w:overflowPunct/>
              <w:topLinePunct w:val="0"/>
              <w:autoSpaceDE/>
              <w:autoSpaceDN/>
              <w:bidi w:val="0"/>
              <w:adjustRightInd/>
              <w:snapToGrid/>
              <w:spacing w:after="157" w:afterLines="50" w:line="400" w:lineRule="exact"/>
              <w:ind w:firstLine="480" w:firstLineChars="200"/>
              <w:jc w:val="center"/>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rPr>
              <w:t>申请人签字：</w:t>
            </w:r>
            <w:r>
              <w:rPr>
                <w:rFonts w:hint="eastAsia" w:ascii="仿宋_GB2312" w:hAnsi="仿宋_GB2312" w:eastAsia="仿宋_GB2312" w:cs="仿宋_GB2312"/>
                <w:bCs/>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年</w:t>
            </w:r>
            <w:r>
              <w:rPr>
                <w:rFonts w:hint="eastAsia" w:ascii="仿宋_GB2312" w:hAnsi="仿宋_GB2312" w:eastAsia="仿宋_GB2312" w:cs="仿宋_GB2312"/>
                <w:bCs/>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月</w:t>
            </w:r>
            <w:r>
              <w:rPr>
                <w:rFonts w:hint="eastAsia" w:ascii="仿宋_GB2312" w:hAnsi="仿宋_GB2312" w:eastAsia="仿宋_GB2312" w:cs="仿宋_GB2312"/>
                <w:bCs/>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日</w:t>
            </w:r>
          </w:p>
        </w:tc>
      </w:tr>
      <w:tr w14:paraId="5AE4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9425" w:type="dxa"/>
            <w:gridSpan w:val="7"/>
            <w:vAlign w:val="top"/>
          </w:tcPr>
          <w:p w14:paraId="4B41B4CF">
            <w:pPr>
              <w:keepNext w:val="0"/>
              <w:keepLines w:val="0"/>
              <w:pageBreakBefore w:val="0"/>
              <w:widowControl/>
              <w:kinsoku/>
              <w:wordWrap/>
              <w:overflowPunct/>
              <w:topLinePunct w:val="0"/>
              <w:autoSpaceDE/>
              <w:autoSpaceDN/>
              <w:bidi w:val="0"/>
              <w:adjustRightInd/>
              <w:snapToGrid/>
              <w:spacing w:before="157" w:beforeLines="50"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kern w:val="0"/>
                <w:sz w:val="24"/>
                <w:szCs w:val="24"/>
                <w:highlight w:val="none"/>
              </w:rPr>
              <w:t>申请人</w:t>
            </w:r>
            <w:r>
              <w:rPr>
                <w:rFonts w:hint="eastAsia" w:ascii="仿宋_GB2312" w:hAnsi="仿宋_GB2312" w:eastAsia="仿宋_GB2312" w:cs="仿宋_GB2312"/>
                <w:bCs/>
                <w:color w:val="auto"/>
                <w:kern w:val="0"/>
                <w:sz w:val="24"/>
                <w:szCs w:val="24"/>
                <w:highlight w:val="none"/>
                <w:lang w:eastAsia="zh-CN"/>
              </w:rPr>
              <w:t>执业</w:t>
            </w:r>
            <w:r>
              <w:rPr>
                <w:rFonts w:hint="eastAsia" w:ascii="仿宋_GB2312" w:hAnsi="仿宋_GB2312" w:eastAsia="仿宋_GB2312" w:cs="仿宋_GB2312"/>
                <w:bCs/>
                <w:color w:val="auto"/>
                <w:kern w:val="0"/>
                <w:sz w:val="24"/>
                <w:szCs w:val="24"/>
                <w:highlight w:val="none"/>
              </w:rPr>
              <w:t>单位意见：</w:t>
            </w:r>
          </w:p>
          <w:p w14:paraId="012E231E">
            <w:pPr>
              <w:keepNext w:val="0"/>
              <w:keepLines w:val="0"/>
              <w:pageBreakBefore w:val="0"/>
              <w:widowControl/>
              <w:kinsoku/>
              <w:wordWrap/>
              <w:overflowPunct/>
              <w:topLinePunct w:val="0"/>
              <w:autoSpaceDE/>
              <w:autoSpaceDN/>
              <w:bidi w:val="0"/>
              <w:adjustRightInd/>
              <w:snapToGrid/>
              <w:spacing w:line="400" w:lineRule="exact"/>
              <w:ind w:firstLine="960" w:firstLineChars="400"/>
              <w:textAlignment w:val="auto"/>
              <w:rPr>
                <w:rFonts w:hint="eastAsia" w:ascii="仿宋_GB2312" w:hAnsi="仿宋_GB2312" w:eastAsia="仿宋_GB2312" w:cs="仿宋_GB2312"/>
                <w:bCs/>
                <w:color w:val="auto"/>
                <w:kern w:val="0"/>
                <w:sz w:val="24"/>
                <w:szCs w:val="24"/>
                <w:highlight w:val="none"/>
              </w:rPr>
            </w:pPr>
          </w:p>
          <w:p w14:paraId="15AC963C">
            <w:pPr>
              <w:keepNext w:val="0"/>
              <w:keepLines w:val="0"/>
              <w:pageBreakBefore w:val="0"/>
              <w:widowControl/>
              <w:kinsoku/>
              <w:wordWrap/>
              <w:overflowPunct/>
              <w:topLinePunct w:val="0"/>
              <w:autoSpaceDE/>
              <w:autoSpaceDN/>
              <w:bidi w:val="0"/>
              <w:adjustRightInd/>
              <w:snapToGrid/>
              <w:spacing w:line="400" w:lineRule="exact"/>
              <w:ind w:firstLine="960" w:firstLineChars="400"/>
              <w:textAlignment w:val="auto"/>
              <w:rPr>
                <w:rFonts w:hint="eastAsia" w:ascii="仿宋_GB2312" w:hAnsi="仿宋_GB2312" w:eastAsia="仿宋_GB2312" w:cs="仿宋_GB2312"/>
                <w:bCs/>
                <w:color w:val="auto"/>
                <w:kern w:val="0"/>
                <w:sz w:val="24"/>
                <w:szCs w:val="24"/>
                <w:highlight w:val="none"/>
              </w:rPr>
            </w:pPr>
          </w:p>
          <w:p w14:paraId="69EB2625">
            <w:pPr>
              <w:keepNext w:val="0"/>
              <w:keepLines w:val="0"/>
              <w:pageBreakBefore w:val="0"/>
              <w:widowControl/>
              <w:kinsoku/>
              <w:wordWrap/>
              <w:overflowPunct/>
              <w:topLinePunct w:val="0"/>
              <w:autoSpaceDE/>
              <w:autoSpaceDN/>
              <w:bidi w:val="0"/>
              <w:adjustRightInd/>
              <w:snapToGrid/>
              <w:spacing w:line="400" w:lineRule="exact"/>
              <w:ind w:firstLine="960" w:firstLineChars="400"/>
              <w:textAlignment w:val="auto"/>
              <w:rPr>
                <w:rFonts w:hint="eastAsia" w:ascii="仿宋_GB2312" w:hAnsi="仿宋_GB2312" w:eastAsia="仿宋_GB2312" w:cs="仿宋_GB2312"/>
                <w:bCs/>
                <w:color w:val="auto"/>
                <w:kern w:val="0"/>
                <w:sz w:val="24"/>
                <w:szCs w:val="24"/>
                <w:highlight w:val="none"/>
              </w:rPr>
            </w:pPr>
          </w:p>
          <w:p w14:paraId="471518DF">
            <w:pPr>
              <w:keepNext w:val="0"/>
              <w:keepLines w:val="0"/>
              <w:pageBreakBefore w:val="0"/>
              <w:widowControl/>
              <w:kinsoku/>
              <w:wordWrap w:val="0"/>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rPr>
              <w:t>（单位公章）</w:t>
            </w:r>
            <w:r>
              <w:rPr>
                <w:rFonts w:hint="eastAsia" w:ascii="仿宋_GB2312" w:hAnsi="仿宋_GB2312" w:eastAsia="仿宋_GB2312" w:cs="仿宋_GB2312"/>
                <w:bCs/>
                <w:color w:val="auto"/>
                <w:kern w:val="0"/>
                <w:sz w:val="24"/>
                <w:szCs w:val="24"/>
                <w:highlight w:val="none"/>
                <w:lang w:val="en-US" w:eastAsia="zh-CN"/>
              </w:rPr>
              <w:t xml:space="preserve">      </w:t>
            </w:r>
          </w:p>
          <w:p w14:paraId="4A647869">
            <w:pPr>
              <w:keepNext w:val="0"/>
              <w:keepLines w:val="0"/>
              <w:pageBreakBefore w:val="0"/>
              <w:widowControl/>
              <w:kinsoku/>
              <w:wordWrap w:val="0"/>
              <w:overflowPunct/>
              <w:topLinePunct w:val="0"/>
              <w:autoSpaceDE/>
              <w:autoSpaceDN/>
              <w:bidi w:val="0"/>
              <w:adjustRightInd/>
              <w:snapToGrid/>
              <w:spacing w:after="157" w:afterLines="50" w:line="400" w:lineRule="exact"/>
              <w:jc w:val="righ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rPr>
              <w:t>年</w:t>
            </w:r>
            <w:r>
              <w:rPr>
                <w:rFonts w:hint="eastAsia" w:ascii="仿宋_GB2312" w:hAnsi="仿宋_GB2312" w:eastAsia="仿宋_GB2312" w:cs="仿宋_GB2312"/>
                <w:bCs/>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月</w:t>
            </w:r>
            <w:r>
              <w:rPr>
                <w:rFonts w:hint="eastAsia" w:ascii="仿宋_GB2312" w:hAnsi="仿宋_GB2312" w:eastAsia="仿宋_GB2312" w:cs="仿宋_GB2312"/>
                <w:bCs/>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日</w:t>
            </w:r>
            <w:r>
              <w:rPr>
                <w:rFonts w:hint="eastAsia" w:ascii="仿宋_GB2312" w:hAnsi="仿宋_GB2312" w:eastAsia="仿宋_GB2312" w:cs="仿宋_GB2312"/>
                <w:bCs/>
                <w:color w:val="auto"/>
                <w:kern w:val="0"/>
                <w:sz w:val="24"/>
                <w:szCs w:val="24"/>
                <w:highlight w:val="none"/>
                <w:lang w:val="en-US" w:eastAsia="zh-CN"/>
              </w:rPr>
              <w:t xml:space="preserve">      </w:t>
            </w:r>
          </w:p>
        </w:tc>
      </w:tr>
    </w:tbl>
    <w:p w14:paraId="7A2D5809">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00F6CB"/>
    <w:multiLevelType w:val="multilevel"/>
    <w:tmpl w:val="7A00F6C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NzUzNmQ1ODRlMDhmNzFhYWVlN2UzMmQ3ODA4MGUifQ=="/>
  </w:docVars>
  <w:rsids>
    <w:rsidRoot w:val="00697238"/>
    <w:rsid w:val="00001B59"/>
    <w:rsid w:val="000046DC"/>
    <w:rsid w:val="00013666"/>
    <w:rsid w:val="00017ACF"/>
    <w:rsid w:val="00025256"/>
    <w:rsid w:val="000974B0"/>
    <w:rsid w:val="000A3420"/>
    <w:rsid w:val="001119F4"/>
    <w:rsid w:val="00116119"/>
    <w:rsid w:val="00137A5C"/>
    <w:rsid w:val="0015239D"/>
    <w:rsid w:val="001546B4"/>
    <w:rsid w:val="00156505"/>
    <w:rsid w:val="00160251"/>
    <w:rsid w:val="0017283E"/>
    <w:rsid w:val="00195644"/>
    <w:rsid w:val="001B1250"/>
    <w:rsid w:val="001B6ABB"/>
    <w:rsid w:val="001D2C9A"/>
    <w:rsid w:val="001F345D"/>
    <w:rsid w:val="00202501"/>
    <w:rsid w:val="0023069F"/>
    <w:rsid w:val="00231B2A"/>
    <w:rsid w:val="00255009"/>
    <w:rsid w:val="00257822"/>
    <w:rsid w:val="00257A8E"/>
    <w:rsid w:val="00260E5C"/>
    <w:rsid w:val="002701ED"/>
    <w:rsid w:val="0027187F"/>
    <w:rsid w:val="00297557"/>
    <w:rsid w:val="002975D8"/>
    <w:rsid w:val="002A7028"/>
    <w:rsid w:val="002E6FEA"/>
    <w:rsid w:val="00306DAD"/>
    <w:rsid w:val="00313B2B"/>
    <w:rsid w:val="003937D1"/>
    <w:rsid w:val="003D03CD"/>
    <w:rsid w:val="003D451A"/>
    <w:rsid w:val="00405F7C"/>
    <w:rsid w:val="004225E3"/>
    <w:rsid w:val="00425A03"/>
    <w:rsid w:val="004426FF"/>
    <w:rsid w:val="004600CA"/>
    <w:rsid w:val="00484E2B"/>
    <w:rsid w:val="004A2002"/>
    <w:rsid w:val="004A5275"/>
    <w:rsid w:val="004A741A"/>
    <w:rsid w:val="004B4A14"/>
    <w:rsid w:val="004B506B"/>
    <w:rsid w:val="004B6A42"/>
    <w:rsid w:val="004C5BA9"/>
    <w:rsid w:val="004F24C2"/>
    <w:rsid w:val="00502034"/>
    <w:rsid w:val="00515358"/>
    <w:rsid w:val="00516107"/>
    <w:rsid w:val="00522AA9"/>
    <w:rsid w:val="005342B8"/>
    <w:rsid w:val="00557ACB"/>
    <w:rsid w:val="005839D8"/>
    <w:rsid w:val="005C2204"/>
    <w:rsid w:val="005E6478"/>
    <w:rsid w:val="00622075"/>
    <w:rsid w:val="00637E4F"/>
    <w:rsid w:val="00646AD3"/>
    <w:rsid w:val="0065130A"/>
    <w:rsid w:val="00683CEC"/>
    <w:rsid w:val="006924C4"/>
    <w:rsid w:val="00697238"/>
    <w:rsid w:val="006D0445"/>
    <w:rsid w:val="00706C78"/>
    <w:rsid w:val="00722322"/>
    <w:rsid w:val="00730E55"/>
    <w:rsid w:val="007315AC"/>
    <w:rsid w:val="00771936"/>
    <w:rsid w:val="00772B46"/>
    <w:rsid w:val="007B59DD"/>
    <w:rsid w:val="007B7C67"/>
    <w:rsid w:val="007C5115"/>
    <w:rsid w:val="007E3680"/>
    <w:rsid w:val="008357C9"/>
    <w:rsid w:val="008606D6"/>
    <w:rsid w:val="0086114D"/>
    <w:rsid w:val="00862621"/>
    <w:rsid w:val="00877593"/>
    <w:rsid w:val="0088617B"/>
    <w:rsid w:val="008C20D9"/>
    <w:rsid w:val="008D3929"/>
    <w:rsid w:val="008D7E8C"/>
    <w:rsid w:val="008E36E8"/>
    <w:rsid w:val="008F2F91"/>
    <w:rsid w:val="0096049E"/>
    <w:rsid w:val="009C00DB"/>
    <w:rsid w:val="009D4066"/>
    <w:rsid w:val="009E3842"/>
    <w:rsid w:val="00A054E5"/>
    <w:rsid w:val="00A1580A"/>
    <w:rsid w:val="00A23425"/>
    <w:rsid w:val="00A24635"/>
    <w:rsid w:val="00A403CD"/>
    <w:rsid w:val="00A53326"/>
    <w:rsid w:val="00A55468"/>
    <w:rsid w:val="00A71D4D"/>
    <w:rsid w:val="00A83CB6"/>
    <w:rsid w:val="00AA50A6"/>
    <w:rsid w:val="00AB23A6"/>
    <w:rsid w:val="00AB2CE9"/>
    <w:rsid w:val="00AB5509"/>
    <w:rsid w:val="00AC042E"/>
    <w:rsid w:val="00AE3251"/>
    <w:rsid w:val="00AE3D03"/>
    <w:rsid w:val="00B21B42"/>
    <w:rsid w:val="00B44C3B"/>
    <w:rsid w:val="00B461A6"/>
    <w:rsid w:val="00B56098"/>
    <w:rsid w:val="00B60FB6"/>
    <w:rsid w:val="00B64B2E"/>
    <w:rsid w:val="00BA7FD7"/>
    <w:rsid w:val="00BB0DEC"/>
    <w:rsid w:val="00BD41A0"/>
    <w:rsid w:val="00BE40AC"/>
    <w:rsid w:val="00BF6F2C"/>
    <w:rsid w:val="00C02BFD"/>
    <w:rsid w:val="00C02F93"/>
    <w:rsid w:val="00C20AC8"/>
    <w:rsid w:val="00C73385"/>
    <w:rsid w:val="00C75B74"/>
    <w:rsid w:val="00CA6F39"/>
    <w:rsid w:val="00CB04F8"/>
    <w:rsid w:val="00CD1F70"/>
    <w:rsid w:val="00CE2339"/>
    <w:rsid w:val="00CF3FC8"/>
    <w:rsid w:val="00D26583"/>
    <w:rsid w:val="00D41572"/>
    <w:rsid w:val="00D5058F"/>
    <w:rsid w:val="00D73BA7"/>
    <w:rsid w:val="00D77246"/>
    <w:rsid w:val="00D94B94"/>
    <w:rsid w:val="00D96A61"/>
    <w:rsid w:val="00DB1626"/>
    <w:rsid w:val="00DC1ADC"/>
    <w:rsid w:val="00DD053C"/>
    <w:rsid w:val="00DD1316"/>
    <w:rsid w:val="00E01A4E"/>
    <w:rsid w:val="00E37866"/>
    <w:rsid w:val="00E462CB"/>
    <w:rsid w:val="00E46627"/>
    <w:rsid w:val="00E561EB"/>
    <w:rsid w:val="00E701D9"/>
    <w:rsid w:val="00E81614"/>
    <w:rsid w:val="00EC046F"/>
    <w:rsid w:val="00EE0878"/>
    <w:rsid w:val="00F42956"/>
    <w:rsid w:val="00F51DE1"/>
    <w:rsid w:val="00F67CA9"/>
    <w:rsid w:val="00FD020D"/>
    <w:rsid w:val="00FF77BA"/>
    <w:rsid w:val="01A52705"/>
    <w:rsid w:val="02EA7A1F"/>
    <w:rsid w:val="02F87434"/>
    <w:rsid w:val="035B41CF"/>
    <w:rsid w:val="039037FF"/>
    <w:rsid w:val="039C53F2"/>
    <w:rsid w:val="041B151E"/>
    <w:rsid w:val="05FE1C24"/>
    <w:rsid w:val="0869448C"/>
    <w:rsid w:val="09A83F19"/>
    <w:rsid w:val="0A40093D"/>
    <w:rsid w:val="0C085DD9"/>
    <w:rsid w:val="0C1D1179"/>
    <w:rsid w:val="0C2E6A02"/>
    <w:rsid w:val="0C7800CC"/>
    <w:rsid w:val="0E9F7310"/>
    <w:rsid w:val="0F503CA0"/>
    <w:rsid w:val="112E6273"/>
    <w:rsid w:val="12604488"/>
    <w:rsid w:val="13655DC8"/>
    <w:rsid w:val="138650CC"/>
    <w:rsid w:val="13A730B3"/>
    <w:rsid w:val="13BB2C77"/>
    <w:rsid w:val="140F3302"/>
    <w:rsid w:val="15D53B19"/>
    <w:rsid w:val="15E77655"/>
    <w:rsid w:val="163D44DE"/>
    <w:rsid w:val="16675404"/>
    <w:rsid w:val="19B7761A"/>
    <w:rsid w:val="1A166D8F"/>
    <w:rsid w:val="1E463B08"/>
    <w:rsid w:val="1EB37DDC"/>
    <w:rsid w:val="214B2DFC"/>
    <w:rsid w:val="215E7015"/>
    <w:rsid w:val="21AA6348"/>
    <w:rsid w:val="22A2261D"/>
    <w:rsid w:val="24465228"/>
    <w:rsid w:val="262379BF"/>
    <w:rsid w:val="27AC5E73"/>
    <w:rsid w:val="294805E7"/>
    <w:rsid w:val="2C0F4592"/>
    <w:rsid w:val="2C205411"/>
    <w:rsid w:val="2C7E7E01"/>
    <w:rsid w:val="2D640099"/>
    <w:rsid w:val="2EDE2D1B"/>
    <w:rsid w:val="2F6733E5"/>
    <w:rsid w:val="33D94255"/>
    <w:rsid w:val="37F609FC"/>
    <w:rsid w:val="37F958F1"/>
    <w:rsid w:val="382E5DC8"/>
    <w:rsid w:val="3933535D"/>
    <w:rsid w:val="3B373C08"/>
    <w:rsid w:val="3EE074B1"/>
    <w:rsid w:val="3FAE49B4"/>
    <w:rsid w:val="42B31885"/>
    <w:rsid w:val="43963487"/>
    <w:rsid w:val="442D448E"/>
    <w:rsid w:val="443964ED"/>
    <w:rsid w:val="49E33908"/>
    <w:rsid w:val="4A7D748F"/>
    <w:rsid w:val="4A975A19"/>
    <w:rsid w:val="4C4D4AF8"/>
    <w:rsid w:val="4FA42C81"/>
    <w:rsid w:val="4FC979FE"/>
    <w:rsid w:val="50D5273C"/>
    <w:rsid w:val="52A41748"/>
    <w:rsid w:val="531C0C1D"/>
    <w:rsid w:val="56003B3C"/>
    <w:rsid w:val="56C04C63"/>
    <w:rsid w:val="581474D0"/>
    <w:rsid w:val="59487991"/>
    <w:rsid w:val="5A0A13DB"/>
    <w:rsid w:val="5AAB2EE8"/>
    <w:rsid w:val="5AC07FEA"/>
    <w:rsid w:val="5B554D0A"/>
    <w:rsid w:val="5D346C4A"/>
    <w:rsid w:val="5DAD5734"/>
    <w:rsid w:val="5DC43458"/>
    <w:rsid w:val="5F187D5F"/>
    <w:rsid w:val="5F360ED7"/>
    <w:rsid w:val="60673F83"/>
    <w:rsid w:val="627B68D3"/>
    <w:rsid w:val="62EA7604"/>
    <w:rsid w:val="63B06E3F"/>
    <w:rsid w:val="63E75B23"/>
    <w:rsid w:val="652C3452"/>
    <w:rsid w:val="659F3D95"/>
    <w:rsid w:val="6A325E99"/>
    <w:rsid w:val="6A9B4A4C"/>
    <w:rsid w:val="6BE733BB"/>
    <w:rsid w:val="6D344536"/>
    <w:rsid w:val="7121480A"/>
    <w:rsid w:val="74936387"/>
    <w:rsid w:val="75870962"/>
    <w:rsid w:val="77421500"/>
    <w:rsid w:val="774E1832"/>
    <w:rsid w:val="788C2F5E"/>
    <w:rsid w:val="79A61398"/>
    <w:rsid w:val="7C5036C5"/>
    <w:rsid w:val="7C8B24A9"/>
    <w:rsid w:val="7E001330"/>
    <w:rsid w:val="7F6C1E7E"/>
    <w:rsid w:val="7FFE413E"/>
    <w:rsid w:val="AFC51A57"/>
    <w:rsid w:val="F77F2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qFormat/>
    <w:uiPriority w:val="0"/>
    <w:pPr>
      <w:keepNext/>
      <w:keepLines/>
      <w:spacing w:before="50" w:beforeLines="50" w:beforeAutospacing="0" w:after="50" w:afterLines="50" w:afterAutospacing="0" w:line="240" w:lineRule="auto"/>
      <w:jc w:val="left"/>
      <w:outlineLvl w:val="0"/>
    </w:pPr>
    <w:rPr>
      <w:rFonts w:eastAsia="黑体" w:cs="宋体" w:asciiTheme="minorAscii" w:hAnsiTheme="minorAscii"/>
      <w:kern w:val="44"/>
      <w:sz w:val="30"/>
    </w:rPr>
  </w:style>
  <w:style w:type="paragraph" w:styleId="5">
    <w:name w:val="heading 2"/>
    <w:basedOn w:val="3"/>
    <w:next w:val="1"/>
    <w:unhideWhenUsed/>
    <w:qFormat/>
    <w:uiPriority w:val="0"/>
    <w:pPr>
      <w:keepNext/>
      <w:keepLines/>
      <w:spacing w:before="30" w:beforeLines="30" w:beforeAutospacing="0" w:after="6" w:afterLines="0" w:afterAutospacing="0" w:line="413" w:lineRule="auto"/>
      <w:outlineLvl w:val="1"/>
    </w:pPr>
    <w:rPr>
      <w:rFonts w:ascii="Arial" w:hAnsi="Arial" w:eastAsia="黑体"/>
      <w:b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rPr>
      <w:rFonts w:ascii="仿宋_GB2312" w:eastAsia="仿宋_GB2312"/>
      <w:sz w:val="32"/>
      <w:szCs w:val="32"/>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6">
    <w:name w:val="Body Text"/>
    <w:basedOn w:val="1"/>
    <w:qFormat/>
    <w:uiPriority w:val="1"/>
    <w:rPr>
      <w:sz w:val="32"/>
      <w:szCs w:val="32"/>
    </w:rPr>
  </w:style>
  <w:style w:type="paragraph" w:styleId="7">
    <w:name w:val="footer"/>
    <w:basedOn w:val="1"/>
    <w:link w:val="18"/>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FollowedHyperlink"/>
    <w:basedOn w:val="13"/>
    <w:unhideWhenUsed/>
    <w:qFormat/>
    <w:uiPriority w:val="99"/>
    <w:rPr>
      <w:color w:val="800080"/>
      <w:u w:val="single"/>
    </w:rPr>
  </w:style>
  <w:style w:type="character" w:styleId="16">
    <w:name w:val="Hyperlink"/>
    <w:basedOn w:val="13"/>
    <w:unhideWhenUsed/>
    <w:qFormat/>
    <w:uiPriority w:val="99"/>
    <w:rPr>
      <w:color w:val="666666"/>
      <w:u w:val="none"/>
    </w:rPr>
  </w:style>
  <w:style w:type="character" w:customStyle="1" w:styleId="17">
    <w:name w:val="页眉 字符"/>
    <w:basedOn w:val="13"/>
    <w:link w:val="8"/>
    <w:semiHidden/>
    <w:qFormat/>
    <w:uiPriority w:val="99"/>
    <w:rPr>
      <w:sz w:val="18"/>
      <w:szCs w:val="18"/>
    </w:rPr>
  </w:style>
  <w:style w:type="character" w:customStyle="1" w:styleId="18">
    <w:name w:val="页脚 字符"/>
    <w:basedOn w:val="13"/>
    <w:link w:val="7"/>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2352</Words>
  <Characters>2543</Characters>
  <Lines>2</Lines>
  <Paragraphs>1</Paragraphs>
  <TotalTime>0</TotalTime>
  <ScaleCrop>false</ScaleCrop>
  <LinksUpToDate>false</LinksUpToDate>
  <CharactersWithSpaces>2671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2018-02-26T09:07:00Z</dcterms:created>
  <dc:creator>谢玮琪</dc:creator>
  <cp:lastModifiedBy>耿向昱</cp:lastModifiedBy>
  <cp:lastPrinted>2024-04-28T16:19:00Z</cp:lastPrinted>
  <dcterms:modified xsi:type="dcterms:W3CDTF">2025-12-26T02:07:47Z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6630593F7E8144BEAC285A02516EFFB6_13</vt:lpwstr>
  </property>
  <property fmtid="{D5CDD505-2E9C-101B-9397-08002B2CF9AE}" pid="4" name="commondata">
    <vt:lpwstr>eyJoZGlkIjoiZmY0NzUzNmQ1ODRlMDhmNzFhYWVlN2UzMmQ3ODA4MGUifQ==</vt:lpwstr>
  </property>
  <property fmtid="{D5CDD505-2E9C-101B-9397-08002B2CF9AE}" pid="5" name="KSOTemplateDocerSaveRecord">
    <vt:lpwstr>eyJoZGlkIjoiZmY0NzUzNmQ1ODRlMDhmNzFhYWVlN2UzMmQ3ODA4MGUiLCJ1c2VySWQiOiI3ODQ0OTkzMTIifQ==</vt:lpwstr>
  </property>
</Properties>
</file>